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2A9D8F"/>
          <w:spacing w:val="60"/>
          <w:sz w:val="24"/>
          <w:szCs w:val="24"/>
        </w:rPr>
        <w:t xml:space="preserve">SALES &amp; BUSINESS ANALYTICS</w:t>
      </w:r>
    </w:p>
    <w:p>
      <w:pPr>
        <w:spacing w:after="240"/>
      </w:pPr>
      <w:r>
        <w:rPr>
          <w:b/>
          <w:bCs/>
          <w:color w:val="1F3A5F"/>
          <w:sz w:val="64"/>
          <w:szCs w:val="64"/>
        </w:rPr>
        <w:t xml:space="preserve">Project Report</w:t>
      </w:r>
    </w:p>
    <w:p>
      <w:pPr>
        <w:pBdr>
          <w:bottom w:val="single" w:color="2A9D8F" w:sz="12" w:space="8"/>
        </w:pBdr>
        <w:spacing w:after="240"/>
      </w:pPr>
      <w:r>
        <w:rPr>
          <w:color w:val="444444"/>
          <w:sz w:val="26"/>
          <w:szCs w:val="26"/>
        </w:rPr>
        <w:t xml:space="preserve">Sales performance, customer, product and time-series analysis of US order data, 2015–2018</w:t>
      </w:r>
    </w:p>
    <w:p>
      <w:pPr>
        <w:spacing w:after="120" w:line="276"/>
      </w:pPr>
      <w:r>
        <w:t xml:space="preserve">Tools: Python (pandas, matplotlib, seaborn) · PostgreSQL · Power BI</w:t>
      </w:r>
    </w:p>
    <w:p>
      <w:pPr>
        <w:spacing w:after="120" w:line="276"/>
      </w:pPr>
      <w:r>
        <w:t xml:space="preserve">Data: 9,800 order lines · 4,922 orders · 793 customers</w:t>
      </w:r>
    </w:p>
    <w:p>
      <w:pPr>
        <w:spacing w:after="120" w:line="276"/>
      </w:pPr>
      <w:r>
        <w:t xml:space="preserve">Prepared: 19 October 2026</w:t>
      </w:r>
    </w:p>
    <w:p>
      <w:r>
        <w:br w:type="page"/>
      </w:r>
    </w:p>
    <w:p>
      <w:pPr>
        <w:pStyle w:val="Heading1"/>
      </w:pPr>
      <w:r>
        <w:t xml:space="preserve">1. Executive Summary</w:t>
      </w:r>
    </w:p>
    <w:p>
      <w:pPr>
        <w:spacing w:after="120" w:line="276"/>
      </w:pPr>
      <w:r>
        <w:t xml:space="preserve">This report consolidates the full Sales &amp; Business Analytics project: data cleaning and feature engineering in Python, business and advanced queries in SQL (PostgreSQL), time-series work in notebooks, and a three-page Power BI dashboard. All figures were recomputed directly from </w:t>
      </w:r>
      <w:r>
        <w:rPr>
          <w:rFonts w:ascii="Consolas" w:cs="Consolas" w:eastAsia="Consolas" w:hAnsi="Consolas"/>
          <w:sz w:val="19"/>
          <w:szCs w:val="19"/>
        </w:rPr>
        <w:t xml:space="preserve">Sales_data.csv</w:t>
      </w:r>
      <w:r>
        <w:t xml:space="preserve"> (9,800 order lines), so they do not depend on the notebooks’ saved outputs.</w:t>
      </w:r>
    </w:p>
    <w:p>
      <w:pPr>
        <w:spacing w:after="120" w:line="276"/>
      </w:pPr>
      <w:r>
        <w:rPr>
          <w:b/>
          <w:bCs/>
        </w:rPr>
        <w:t xml:space="preserve">Headline results</w:t>
      </w:r>
    </w:p>
    <w:p>
      <w:pPr>
        <w:pStyle w:val="ListParagraph"/>
        <w:numPr>
          <w:ilvl w:val="0"/>
          <w:numId w:val="2"/>
        </w:numPr>
        <w:spacing w:after="60" w:line="264"/>
      </w:pPr>
      <w:r>
        <w:rPr>
          <w:b/>
          <w:bCs/>
        </w:rPr>
        <w:t xml:space="preserve">Total sales of $2.26M</w:t>
      </w:r>
      <w:r>
        <w:t xml:space="preserve"> across 4,922 orders, 793 customers and 1,861 products. Average order value is $459 and average sales per customer is $2,852.</w:t>
      </w:r>
    </w:p>
    <w:p>
      <w:pPr>
        <w:pStyle w:val="ListParagraph"/>
        <w:numPr>
          <w:ilvl w:val="0"/>
          <w:numId w:val="2"/>
        </w:numPr>
        <w:spacing w:after="60" w:line="264"/>
      </w:pPr>
      <w:r>
        <w:rPr>
          <w:b/>
          <w:bCs/>
        </w:rPr>
        <w:t xml:space="preserve">Growth is strong but not smooth.</w:t>
      </w:r>
      <w:r>
        <w:t xml:space="preserve"> Sales fell 4.3% in 2016, then rose 30.6% in 2017 and 20.3% in 2018 to $722K. The 2015–2018 compound annual growth rate is 14.6%.</w:t>
      </w:r>
    </w:p>
    <w:p>
      <w:pPr>
        <w:pStyle w:val="ListParagraph"/>
        <w:numPr>
          <w:ilvl w:val="0"/>
          <w:numId w:val="2"/>
        </w:numPr>
        <w:spacing w:after="60" w:line="264"/>
      </w:pPr>
      <w:r>
        <w:rPr>
          <w:b/>
          <w:bCs/>
        </w:rPr>
        <w:t xml:space="preserve">Growth is volume-driven, not value-driven.</w:t>
      </w:r>
      <w:r>
        <w:t xml:space="preserve"> Orders grew 75% (947 to 1,661) while average order value fell 14% ($507 to $435).</w:t>
      </w:r>
    </w:p>
    <w:p>
      <w:pPr>
        <w:pStyle w:val="ListParagraph"/>
        <w:numPr>
          <w:ilvl w:val="0"/>
          <w:numId w:val="2"/>
        </w:numPr>
        <w:spacing w:after="60" w:line="264"/>
      </w:pPr>
      <w:r>
        <w:rPr>
          <w:b/>
          <w:bCs/>
        </w:rPr>
        <w:t xml:space="preserve">Geographic concentration.</w:t>
      </w:r>
      <w:r>
        <w:t xml:space="preserve"> California and New York produce 33% of sales and the top five states 52%. West and East together produce 61%.</w:t>
      </w:r>
    </w:p>
    <w:p>
      <w:pPr>
        <w:pStyle w:val="ListParagraph"/>
        <w:numPr>
          <w:ilvl w:val="0"/>
          <w:numId w:val="2"/>
        </w:numPr>
        <w:spacing w:after="60" w:line="264"/>
      </w:pPr>
      <w:r>
        <w:rPr>
          <w:b/>
          <w:bCs/>
        </w:rPr>
        <w:t xml:space="preserve">Heavy seasonality.</w:t>
      </w:r>
      <w:r>
        <w:t xml:space="preserve"> Q4 delivers 38.5% of annual sales; September, November and December alone deliver 43%.</w:t>
      </w:r>
    </w:p>
    <w:p>
      <w:pPr>
        <w:pStyle w:val="ListParagraph"/>
        <w:numPr>
          <w:ilvl w:val="0"/>
          <w:numId w:val="2"/>
        </w:numPr>
        <w:spacing w:after="60" w:line="264"/>
      </w:pPr>
      <w:r>
        <w:rPr>
          <w:b/>
          <w:bCs/>
        </w:rPr>
        <w:t xml:space="preserve">Balanced category mix</w:t>
      </w:r>
      <w:r>
        <w:t xml:space="preserve"> (Technology 36.6%, Furniture 32.2%, Office Supplies 31.2%), but Phones and Chairs are the two biggest sub-categories at about 14% each.</w:t>
      </w:r>
    </w:p>
    <w:p>
      <w:pPr>
        <w:pStyle w:val="ListParagraph"/>
        <w:numPr>
          <w:ilvl w:val="0"/>
          <w:numId w:val="2"/>
        </w:numPr>
        <w:spacing w:after="60" w:line="264"/>
      </w:pPr>
      <w:r>
        <w:rPr>
          <w:b/>
          <w:bCs/>
        </w:rPr>
        <w:t xml:space="preserve">Loyal customers.</w:t>
      </w:r>
      <w:r>
        <w:t xml:space="preserve"> 98.4% of customers ordered more than once, averaging 6.2 orders each. The top 20% of customers generate 48% of sales.</w:t>
      </w:r>
    </w:p>
    <w:p>
      <w:pPr>
        <w:spacing w:after="120"/>
      </w:pPr>
    </w:p>
    <w:p>
      <w:pPr>
        <w:spacing w:after="120" w:line="276"/>
      </w:pPr>
      <w:r>
        <w:rPr>
          <w:b/>
          <w:bCs/>
        </w:rPr>
        <w:t xml:space="preserve">Important limitation:</w:t>
      </w:r>
      <w:r>
        <w:t xml:space="preserve"> the dataset contains sales only. It has no Profit, Quantity or Discount fields, so profitability, margin and discount conclusions cannot be drawn from this data (see Section 9).</w:t>
      </w:r>
    </w:p>
    <w:p>
      <w:pPr>
        <w:pStyle w:val="Heading1"/>
      </w:pPr>
      <w:r>
        <w:t xml:space="preserve">2. Project Scope and Deliverables</w:t>
      </w:r>
    </w:p>
    <w:p>
      <w:pPr>
        <w:spacing w:after="120" w:line="276"/>
      </w:pPr>
      <w:r>
        <w:rPr>
          <w:b/>
          <w:bCs/>
        </w:rPr>
        <w:t xml:space="preserve">Objective:</w:t>
      </w:r>
      <w:r>
        <w:t xml:space="preserve"> turn raw order data into decisions about where sales come from, how they change over time, who the valuable customers are, and how well orders are fulfilled.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560"/>
        <w:gridCol w:w="2100"/>
      </w:tblGrid>
      <w:tr>
        <w:trPr>
          <w:tblHeader/>
        </w:trPr>
        <w:tc>
          <w:tcPr>
            <w:tcW w:type="dxa" w:w="27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Component</w:t>
            </w:r>
          </w:p>
        </w:tc>
        <w:tc>
          <w:tcPr>
            <w:tcW w:type="dxa" w:w="45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Contents</w:t>
            </w:r>
          </w:p>
        </w:tc>
        <w:tc>
          <w:tcPr>
            <w:tcW w:type="dxa" w:w="21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Status</w:t>
            </w:r>
          </w:p>
        </w:tc>
      </w:tr>
      <w:tr>
        <w:tc>
          <w:tcPr>
            <w:tcW w:type="dxa" w:w="2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Data</w:t>
            </w:r>
          </w:p>
        </w:tc>
        <w:tc>
          <w:tcPr>
            <w:tcW w:type="dxa" w:w="4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Sales_data.csv and train.csv (byte-identical, 9,800 rows, 24 columns)</w:t>
            </w:r>
          </w:p>
        </w:tc>
        <w:tc>
          <w:tcPr>
            <w:tcW w:type="dxa" w:w="2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Complete</w:t>
            </w:r>
          </w:p>
        </w:tc>
      </w:tr>
      <w:tr>
        <w:tc>
          <w:tcPr>
            <w:tcW w:type="dxa" w:w="2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Notebook 1: Data_Cleaning</w:t>
            </w:r>
          </w:p>
        </w:tc>
        <w:tc>
          <w:tcPr>
            <w:tcW w:type="dxa" w:w="4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Quality checks, date conversion, feature engineering</w:t>
            </w:r>
          </w:p>
        </w:tc>
        <w:tc>
          <w:tcPr>
            <w:tcW w:type="dxa" w:w="2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Complete</w:t>
            </w:r>
          </w:p>
        </w:tc>
      </w:tr>
      <w:tr>
        <w:tc>
          <w:tcPr>
            <w:tcW w:type="dxa" w:w="2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Notebook 2: Sales_Analysis</w:t>
            </w:r>
          </w:p>
        </w:tc>
        <w:tc>
          <w:tcPr>
            <w:tcW w:type="dxa" w:w="4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KPIs, category, region, segment, state, yearly and monthly trends</w:t>
            </w:r>
          </w:p>
        </w:tc>
        <w:tc>
          <w:tcPr>
            <w:tcW w:type="dxa" w:w="2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Complete</w:t>
            </w:r>
          </w:p>
        </w:tc>
      </w:tr>
      <w:tr>
        <w:tc>
          <w:tcPr>
            <w:tcW w:type="dxa" w:w="2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Notebook 3: Product_Customer_Analysis</w:t>
            </w:r>
          </w:p>
        </w:tc>
        <w:tc>
          <w:tcPr>
            <w:tcW w:type="dxa" w:w="4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Top products, top customers, value tiers</w:t>
            </w:r>
          </w:p>
        </w:tc>
        <w:tc>
          <w:tcPr>
            <w:tcW w:type="dxa" w:w="2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Mostly complete (one broken cell)</w:t>
            </w:r>
          </w:p>
        </w:tc>
      </w:tr>
      <w:tr>
        <w:tc>
          <w:tcPr>
            <w:tcW w:type="dxa" w:w="2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Notebook 4: Time_Series_Analysis</w:t>
            </w:r>
          </w:p>
        </w:tc>
        <w:tc>
          <w:tcPr>
            <w:tcW w:type="dxa" w:w="4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Growth, rolling average, seasonality, shipping</w:t>
            </w:r>
          </w:p>
        </w:tc>
        <w:tc>
          <w:tcPr>
            <w:tcW w:type="dxa" w:w="2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Complete (one copy-paste error)</w:t>
            </w:r>
          </w:p>
        </w:tc>
      </w:tr>
      <w:tr>
        <w:tc>
          <w:tcPr>
            <w:tcW w:type="dxa" w:w="2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Notebook 5: Business_Insights</w:t>
            </w:r>
          </w:p>
        </w:tc>
        <w:tc>
          <w:tcPr>
            <w:tcW w:type="dxa" w:w="4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Intended synthesis notebook</w:t>
            </w:r>
          </w:p>
        </w:tc>
        <w:tc>
          <w:tcPr>
            <w:tcW w:type="dxa" w:w="2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Empty</w:t>
            </w:r>
          </w:p>
        </w:tc>
      </w:tr>
      <w:tr>
        <w:tc>
          <w:tcPr>
            <w:tcW w:type="dxa" w:w="2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SQL scripts 01–04</w:t>
            </w:r>
          </w:p>
        </w:tc>
        <w:tc>
          <w:tcPr>
            <w:tcW w:type="dxa" w:w="4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Table setup, data quality, 25 business queries, window-function analysis, one view</w:t>
            </w:r>
          </w:p>
        </w:tc>
        <w:tc>
          <w:tcPr>
            <w:tcW w:type="dxa" w:w="2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Complete (stray text)</w:t>
            </w:r>
          </w:p>
        </w:tc>
      </w:tr>
      <w:tr>
        <w:tc>
          <w:tcPr>
            <w:tcW w:type="dxa" w:w="2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Power BI dashboard</w:t>
            </w:r>
          </w:p>
        </w:tc>
        <w:tc>
          <w:tcPr>
            <w:tcW w:type="dxa" w:w="4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3 pages, 53 visuals, slicers on year, region, segment, category, ship mode</w:t>
            </w:r>
          </w:p>
        </w:tc>
        <w:tc>
          <w:tcPr>
            <w:tcW w:type="dxa" w:w="2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Complete</w:t>
            </w:r>
          </w:p>
        </w:tc>
      </w:tr>
      <w:tr>
        <w:tc>
          <w:tcPr>
            <w:tcW w:type="dxa" w:w="2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Screenshots</w:t>
            </w:r>
          </w:p>
        </w:tc>
        <w:tc>
          <w:tcPr>
            <w:tcW w:type="dxa" w:w="4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Empty folder</w:t>
            </w:r>
          </w:p>
        </w:tc>
        <w:tc>
          <w:tcPr>
            <w:tcW w:type="dxa" w:w="21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Missing</w:t>
            </w:r>
          </w:p>
        </w:tc>
      </w:tr>
    </w:tbl>
    <w:p>
      <w:pPr>
        <w:pStyle w:val="Heading1"/>
      </w:pPr>
      <w:r>
        <w:t xml:space="preserve">3. Data Description and Preparation</w:t>
      </w:r>
    </w:p>
    <w:p>
      <w:pPr>
        <w:spacing w:after="120" w:line="276"/>
      </w:pPr>
      <w:r>
        <w:rPr>
          <w:b/>
          <w:bCs/>
        </w:rPr>
        <w:t xml:space="preserve">Source data:</w:t>
      </w:r>
      <w:r>
        <w:t xml:space="preserve"> 9,800 order lines covering orders placed from 3 January 2015 to 30 December 2018, shipped to 49 states and 529 cities in the United States. Each row is one product line within an order.</w:t>
      </w:r>
    </w:p>
    <w:p>
      <w:pPr>
        <w:spacing w:after="120" w:line="276"/>
      </w:pPr>
      <w:r>
        <w:rPr>
          <w:b/>
          <w:bCs/>
        </w:rPr>
        <w:t xml:space="preserve">Fields:</w:t>
      </w:r>
      <w:r>
        <w:t xml:space="preserve"> order and ship dates, ship mode, customer ID and name, segment, geography (city, state, postal code, region), product ID, category, sub-category, product name and sales, plus engineered fields Year, Month, Month_Name, Quarter, Year_Month and Shipping_Days.</w:t>
      </w:r>
    </w:p>
    <w:p>
      <w:pPr>
        <w:spacing w:after="120" w:line="276"/>
      </w:pPr>
      <w:r>
        <w:rPr>
          <w:b/>
          <w:bCs/>
        </w:rPr>
        <w:t xml:space="preserve">Data quality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Check</w:t>
            </w:r>
          </w:p>
        </w:tc>
        <w:tc>
          <w:tcPr>
            <w:tcW w:type="dxa" w:w="57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Result</w:t>
            </w:r>
          </w:p>
        </w:tc>
      </w:tr>
      <w:tr>
        <w:tc>
          <w:tcPr>
            <w:tcW w:type="dxa" w:w="3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Exact duplicate rows</w:t>
            </w:r>
          </w:p>
        </w:tc>
        <w:tc>
          <w:tcPr>
            <w:tcW w:type="dxa" w:w="57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0</w:t>
            </w:r>
          </w:p>
        </w:tc>
      </w:tr>
      <w:tr>
        <w:tc>
          <w:tcPr>
            <w:tcW w:type="dxa" w:w="3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Missing values</w:t>
            </w:r>
          </w:p>
        </w:tc>
        <w:tc>
          <w:tcPr>
            <w:tcW w:type="dxa" w:w="57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11 postal codes, all for one city (Burlington); no other nulls</w:t>
            </w:r>
          </w:p>
        </w:tc>
      </w:tr>
      <w:tr>
        <w:tc>
          <w:tcPr>
            <w:tcW w:type="dxa" w:w="3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Sales ≤ 0</w:t>
            </w:r>
          </w:p>
        </w:tc>
        <w:tc>
          <w:tcPr>
            <w:tcW w:type="dxa" w:w="57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0 rows</w:t>
            </w:r>
          </w:p>
        </w:tc>
      </w:tr>
      <w:tr>
        <w:tc>
          <w:tcPr>
            <w:tcW w:type="dxa" w:w="3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Ship date earlier than order date</w:t>
            </w:r>
          </w:p>
        </w:tc>
        <w:tc>
          <w:tcPr>
            <w:tcW w:type="dxa" w:w="57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0 rows</w:t>
            </w:r>
          </w:p>
        </w:tc>
      </w:tr>
      <w:tr>
        <w:tc>
          <w:tcPr>
            <w:tcW w:type="dxa" w:w="3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Repeated Order ID + Product ID pairs</w:t>
            </w:r>
          </w:p>
        </w:tc>
        <w:tc>
          <w:tcPr>
            <w:tcW w:type="dxa" w:w="57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8 (likely separate line items with different values; not removed)</w:t>
            </w:r>
          </w:p>
        </w:tc>
      </w:tr>
      <w:tr>
        <w:tc>
          <w:tcPr>
            <w:tcW w:type="dxa" w:w="3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Sales range</w:t>
            </w:r>
          </w:p>
        </w:tc>
        <w:tc>
          <w:tcPr>
            <w:tcW w:type="dxa" w:w="57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$0.44 to $22,638; mean $231, median $54</w:t>
            </w:r>
          </w:p>
        </w:tc>
      </w:tr>
    </w:tbl>
    <w:p>
      <w:pPr>
        <w:spacing w:after="120"/>
      </w:pPr>
    </w:p>
    <w:p>
      <w:pPr>
        <w:spacing w:after="120" w:line="276"/>
      </w:pPr>
      <w:r>
        <w:rPr>
          <w:b/>
          <w:bCs/>
        </w:rPr>
        <w:t xml:space="preserve">Feature engineering:</w:t>
      </w:r>
      <w:r>
        <w:t xml:space="preserve"> date columns were converted, then Year, Month, Quarter, Year_Month and Shipping_Days (ship date minus order date) were derived. Shipping_Days ranges from 0 to 7 with a mean of 3.96.</w:t>
      </w:r>
    </w:p>
    <w:p>
      <w:pPr>
        <w:spacing w:after="120" w:line="276"/>
      </w:pPr>
      <w:r>
        <w:rPr>
          <w:b/>
          <w:bCs/>
        </w:rPr>
        <w:t xml:space="preserve">Interpretation:</w:t>
      </w:r>
      <w:r>
        <w:t xml:space="preserve"> the data is clean and analysis-ready. Sales is strongly right-skewed (mean $231 versus median $54; the largest line is $22.6K), so medians are often more representative than averages, and a few large orders matter a great deal.</w:t>
      </w:r>
    </w:p>
    <w:p>
      <w:pPr>
        <w:pStyle w:val="Heading1"/>
      </w:pPr>
      <w:r>
        <w:t xml:space="preserve">4. Overall Business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KPI</w:t>
            </w:r>
          </w:p>
        </w:tc>
        <w:tc>
          <w:tcPr>
            <w:tcW w:type="dxa" w:w="468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Value</w:t>
            </w:r>
          </w:p>
        </w:tc>
      </w:tr>
      <w:tr>
        <w:tc>
          <w:tcPr>
            <w:tcW w:type="dxa" w:w="46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Total sales</w:t>
            </w:r>
          </w:p>
        </w:tc>
        <w:tc>
          <w:tcPr>
            <w:tcW w:type="dxa" w:w="46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$2,261,537</w:t>
            </w:r>
          </w:p>
        </w:tc>
      </w:tr>
      <w:tr>
        <w:tc>
          <w:tcPr>
            <w:tcW w:type="dxa" w:w="46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Total orders</w:t>
            </w:r>
          </w:p>
        </w:tc>
        <w:tc>
          <w:tcPr>
            <w:tcW w:type="dxa" w:w="46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4,922</w:t>
            </w:r>
          </w:p>
        </w:tc>
      </w:tr>
      <w:tr>
        <w:tc>
          <w:tcPr>
            <w:tcW w:type="dxa" w:w="46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Total customers</w:t>
            </w:r>
          </w:p>
        </w:tc>
        <w:tc>
          <w:tcPr>
            <w:tcW w:type="dxa" w:w="46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793</w:t>
            </w:r>
          </w:p>
        </w:tc>
      </w:tr>
      <w:tr>
        <w:tc>
          <w:tcPr>
            <w:tcW w:type="dxa" w:w="46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Total products (IDs)</w:t>
            </w:r>
          </w:p>
        </w:tc>
        <w:tc>
          <w:tcPr>
            <w:tcW w:type="dxa" w:w="46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1,861</w:t>
            </w:r>
          </w:p>
        </w:tc>
      </w:tr>
      <w:tr>
        <w:tc>
          <w:tcPr>
            <w:tcW w:type="dxa" w:w="46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Average order value</w:t>
            </w:r>
          </w:p>
        </w:tc>
        <w:tc>
          <w:tcPr>
            <w:tcW w:type="dxa" w:w="46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$459.48 (median $151.88)</w:t>
            </w:r>
          </w:p>
        </w:tc>
      </w:tr>
      <w:tr>
        <w:tc>
          <w:tcPr>
            <w:tcW w:type="dxa" w:w="46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Average sales per customer</w:t>
            </w:r>
          </w:p>
        </w:tc>
        <w:tc>
          <w:tcPr>
            <w:tcW w:type="dxa" w:w="46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$2,851.87</w:t>
            </w:r>
          </w:p>
        </w:tc>
      </w:tr>
      <w:tr>
        <w:tc>
          <w:tcPr>
            <w:tcW w:type="dxa" w:w="46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Average lines per order</w:t>
            </w:r>
          </w:p>
        </w:tc>
        <w:tc>
          <w:tcPr>
            <w:tcW w:type="dxa" w:w="46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1.99</w:t>
            </w:r>
          </w:p>
        </w:tc>
      </w:tr>
      <w:tr>
        <w:tc>
          <w:tcPr>
            <w:tcW w:type="dxa" w:w="46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Average shipping time</w:t>
            </w:r>
          </w:p>
        </w:tc>
        <w:tc>
          <w:tcPr>
            <w:tcW w:type="dxa" w:w="46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3.96 days</w:t>
            </w:r>
          </w:p>
        </w:tc>
      </w:tr>
    </w:tbl>
    <w:p>
      <w:pPr>
        <w:spacing w:after="120"/>
      </w:pPr>
    </w:p>
    <w:p>
      <w:pPr>
        <w:spacing w:after="120" w:line="276"/>
      </w:pPr>
      <w:r>
        <w:t xml:space="preserve">The gap between the mean and median order value ($459 versus $152) shows that a minority of large orders lifts the average. Most orders are small.</w:t>
      </w:r>
    </w:p>
    <w:p>
      <w:pPr>
        <w:pStyle w:val="Heading1"/>
      </w:pPr>
      <w:r>
        <w:t xml:space="preserve">5. Sales Performance Analysis</w:t>
      </w:r>
    </w:p>
    <w:p>
      <w:pPr>
        <w:pStyle w:val="Heading2"/>
      </w:pPr>
      <w:r>
        <w:t xml:space="preserve">5.1 Sales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560"/>
        <w:gridCol w:w="2000"/>
      </w:tblGrid>
      <w:tr>
        <w:trPr>
          <w:tblHeader/>
        </w:trPr>
        <w:tc>
          <w:tcPr>
            <w:tcW w:type="dxa" w:w="26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Category</w:t>
            </w:r>
          </w:p>
        </w:tc>
        <w:tc>
          <w:tcPr>
            <w:tcW w:type="dxa" w:w="18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Sales</w:t>
            </w:r>
          </w:p>
        </w:tc>
        <w:tc>
          <w:tcPr>
            <w:tcW w:type="dxa" w:w="14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Share</w:t>
            </w:r>
          </w:p>
        </w:tc>
        <w:tc>
          <w:tcPr>
            <w:tcW w:type="dxa" w:w="15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Orders</w:t>
            </w:r>
          </w:p>
        </w:tc>
        <w:tc>
          <w:tcPr>
            <w:tcW w:type="dxa" w:w="2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Avg order value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Technology</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$827,456</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36.6%</w:t>
            </w:r>
          </w:p>
        </w:tc>
        <w:tc>
          <w:tcPr>
            <w:tcW w:type="dxa" w:w="1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1,519</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$545</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Furniture</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$728,659</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32.2%</w:t>
            </w:r>
          </w:p>
        </w:tc>
        <w:tc>
          <w:tcPr>
            <w:tcW w:type="dxa" w:w="1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1,727</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$422</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Office Supplies</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$705,422</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31.2%</w:t>
            </w:r>
          </w:p>
        </w:tc>
        <w:tc>
          <w:tcPr>
            <w:tcW w:type="dxa" w:w="1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3,676</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$192</w:t>
            </w:r>
          </w:p>
        </w:tc>
      </w:tr>
    </w:tbl>
    <w:p>
      <w:pPr>
        <w:spacing w:after="120"/>
      </w:pPr>
    </w:p>
    <w:p>
      <w:pPr>
        <w:spacing w:after="120" w:line="276"/>
      </w:pPr>
      <w:r>
        <w:t xml:space="preserve">Technology earns the most revenue from the fewest orders. Office Supplies has more than twice the order count but the lowest order value, so it drives traffic and repeat purchasing while Technology drives revenue.</w:t>
      </w:r>
    </w:p>
    <w:p>
      <w:pPr>
        <w:keepNext/>
        <w:spacing w:after="40" w:before="120"/>
        <w:jc w:val="center"/>
      </w:pPr>
      <w:r>
        <w:drawing>
          <wp:inline distT="0" distB="0" distL="0" distR="0">
            <wp:extent cx="5715000" cy="2638425"/>
            <wp:effectExtent t="0" r="0" b="0" l="0"/>
            <wp:docPr id="1" name="c3.png" descr="Figure 1. Sales by category and region" title="Figure 1. Sales by category and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38425"/>
                    </a:xfrm>
                    <a:prstGeom prst="rect">
                      <a:avLst/>
                    </a:prstGeom>
                  </pic:spPr>
                </pic:pic>
              </a:graphicData>
            </a:graphic>
          </wp:inline>
        </w:drawing>
      </w:r>
    </w:p>
    <w:p>
      <w:pPr>
        <w:spacing w:after="200"/>
        <w:jc w:val="center"/>
      </w:pPr>
      <w:r>
        <w:rPr>
          <w:i/>
          <w:iCs/>
          <w:color w:val="555555"/>
          <w:sz w:val="18"/>
          <w:szCs w:val="18"/>
        </w:rPr>
        <w:t xml:space="preserve">Figure 1. Sales by category and region</w:t>
      </w:r>
    </w:p>
    <w:p>
      <w:pPr>
        <w:pStyle w:val="Heading2"/>
      </w:pPr>
      <w:r>
        <w:t xml:space="preserve">5.2 Sub-category contribution</w:t>
      </w:r>
    </w:p>
    <w:p>
      <w:pPr>
        <w:keepNext/>
        <w:spacing w:after="40" w:before="120"/>
        <w:jc w:val="center"/>
      </w:pPr>
      <w:r>
        <w:drawing>
          <wp:inline distT="0" distB="0" distL="0" distR="0">
            <wp:extent cx="5715000" cy="3695700"/>
            <wp:effectExtent t="0" r="0" b="0" l="0"/>
            <wp:docPr id="1" name="c4.png" descr="Figure 2. Sales by sub-category (highlighted: above $200K)" title="Figure 2. Sales by sub-category (highlighted: above $200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695700"/>
                    </a:xfrm>
                    <a:prstGeom prst="rect">
                      <a:avLst/>
                    </a:prstGeom>
                  </pic:spPr>
                </pic:pic>
              </a:graphicData>
            </a:graphic>
          </wp:inline>
        </w:drawing>
      </w:r>
    </w:p>
    <w:p>
      <w:pPr>
        <w:spacing w:after="200"/>
        <w:jc w:val="center"/>
      </w:pPr>
      <w:r>
        <w:rPr>
          <w:i/>
          <w:iCs/>
          <w:color w:val="555555"/>
          <w:sz w:val="18"/>
          <w:szCs w:val="18"/>
        </w:rPr>
        <w:t xml:space="preserve">Figure 2. Sales by sub-category (highlighted: above $200K)</w:t>
      </w:r>
    </w:p>
    <w:p>
      <w:pPr>
        <w:spacing w:after="120" w:line="276"/>
      </w:pPr>
      <w:r>
        <w:t xml:space="preserve">The top four sub-categories (Phones, Chairs, Storage, Tables) make up 47% of sales. The weakest are Fasteners ($3.0K), Labels ($12.3K), Envelopes ($16.1K) and Art ($26.7K), together under 3% of revenue.</w:t>
      </w:r>
    </w:p>
    <w:p>
      <w:pPr>
        <w:pStyle w:val="Heading2"/>
      </w:pPr>
      <w:r>
        <w:t xml:space="preserve">5.3 Regional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560"/>
        <w:gridCol w:w="2000"/>
      </w:tblGrid>
      <w:tr>
        <w:trPr>
          <w:tblHeader/>
        </w:trPr>
        <w:tc>
          <w:tcPr>
            <w:tcW w:type="dxa" w:w="26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Region</w:t>
            </w:r>
          </w:p>
        </w:tc>
        <w:tc>
          <w:tcPr>
            <w:tcW w:type="dxa" w:w="18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Sales</w:t>
            </w:r>
          </w:p>
        </w:tc>
        <w:tc>
          <w:tcPr>
            <w:tcW w:type="dxa" w:w="14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Share</w:t>
            </w:r>
          </w:p>
        </w:tc>
        <w:tc>
          <w:tcPr>
            <w:tcW w:type="dxa" w:w="15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Orders</w:t>
            </w:r>
          </w:p>
        </w:tc>
        <w:tc>
          <w:tcPr>
            <w:tcW w:type="dxa" w:w="2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Avg order value</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West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$710,220</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31.4%</w:t>
            </w:r>
          </w:p>
        </w:tc>
        <w:tc>
          <w:tcPr>
            <w:tcW w:type="dxa" w:w="1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1,587</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$448</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East</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$669,519</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29.6%</w:t>
            </w:r>
          </w:p>
        </w:tc>
        <w:tc>
          <w:tcPr>
            <w:tcW w:type="dxa" w:w="1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1,369</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$489</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Central</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$492,647</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21.8%</w:t>
            </w:r>
          </w:p>
        </w:tc>
        <w:tc>
          <w:tcPr>
            <w:tcW w:type="dxa" w:w="1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1,156</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$426</w:t>
            </w:r>
          </w:p>
        </w:tc>
      </w:tr>
      <w:tr>
        <w:tc>
          <w:tcPr>
            <w:tcW w:type="dxa" w:w="26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South</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$389,151</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17.2%</w:t>
            </w:r>
          </w:p>
        </w:tc>
        <w:tc>
          <w:tcPr>
            <w:tcW w:type="dxa" w:w="1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810</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$480</w:t>
            </w:r>
          </w:p>
        </w:tc>
      </w:tr>
    </w:tbl>
    <w:p>
      <w:pPr>
        <w:spacing w:after="120"/>
      </w:pPr>
    </w:p>
    <w:p>
      <w:pPr>
        <w:spacing w:after="120" w:line="276"/>
      </w:pPr>
      <w:r>
        <w:t xml:space="preserve">West leads on revenue and order volume. South is the smallest region with the fewest orders despite a healthy average order value ($480), which suggests a reach or coverage problem rather than a pricing problem.</w:t>
      </w:r>
    </w:p>
    <w:p>
      <w:pPr>
        <w:pStyle w:val="Heading2"/>
      </w:pPr>
      <w:r>
        <w:t xml:space="preserve">5.4 Customer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300"/>
        <w:gridCol w:w="1660"/>
        <w:gridCol w:w="2200"/>
      </w:tblGrid>
      <w:tr>
        <w:trPr>
          <w:tblHeader/>
        </w:trPr>
        <w:tc>
          <w:tcPr>
            <w:tcW w:type="dxa" w:w="24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Segment</w:t>
            </w:r>
          </w:p>
        </w:tc>
        <w:tc>
          <w:tcPr>
            <w:tcW w:type="dxa" w:w="18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Sales</w:t>
            </w:r>
          </w:p>
        </w:tc>
        <w:tc>
          <w:tcPr>
            <w:tcW w:type="dxa" w:w="13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Share</w:t>
            </w:r>
          </w:p>
        </w:tc>
        <w:tc>
          <w:tcPr>
            <w:tcW w:type="dxa" w:w="16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Customers</w:t>
            </w:r>
          </w:p>
        </w:tc>
        <w:tc>
          <w:tcPr>
            <w:tcW w:type="dxa" w:w="22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Sales per customer</w:t>
            </w:r>
          </w:p>
        </w:tc>
      </w:tr>
      <w:tr>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Consumer</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$1,148,061</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50.8%</w:t>
            </w:r>
          </w:p>
        </w:tc>
        <w:tc>
          <w:tcPr>
            <w:tcW w:type="dxa" w:w="16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409</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$2,807</w:t>
            </w:r>
          </w:p>
        </w:tc>
      </w:tr>
      <w:tr>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Corporate</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$688,494</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30.4%</w:t>
            </w:r>
          </w:p>
        </w:tc>
        <w:tc>
          <w:tcPr>
            <w:tcW w:type="dxa" w:w="16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236</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$2,917</w:t>
            </w:r>
          </w:p>
        </w:tc>
      </w:tr>
      <w:tr>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Home Office</w:t>
            </w:r>
          </w:p>
        </w:tc>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$424,982</w:t>
            </w:r>
          </w:p>
        </w:tc>
        <w:tc>
          <w:tcPr>
            <w:tcW w:type="dxa" w:w="1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18.8%</w:t>
            </w:r>
          </w:p>
        </w:tc>
        <w:tc>
          <w:tcPr>
            <w:tcW w:type="dxa" w:w="16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148</w:t>
            </w:r>
          </w:p>
        </w:tc>
        <w:tc>
          <w:tcPr>
            <w:tcW w:type="dxa" w:w="2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$2,872</w:t>
            </w:r>
          </w:p>
        </w:tc>
      </w:tr>
    </w:tbl>
    <w:p>
      <w:pPr>
        <w:spacing w:after="120"/>
      </w:pPr>
    </w:p>
    <w:p>
      <w:pPr>
        <w:spacing w:after="120" w:line="276"/>
      </w:pPr>
      <w:r>
        <w:t xml:space="preserve">Consumer is the largest segment by number of customers, but per-customer spend is almost identical across all three segments. Revenue differences come from how many customers each segment has, not how much each spends.</w:t>
      </w:r>
    </w:p>
    <w:p>
      <w:pPr>
        <w:pStyle w:val="Heading2"/>
      </w:pPr>
      <w:r>
        <w:t xml:space="preserve">5.5 Geography: states and cities</w:t>
      </w:r>
    </w:p>
    <w:p>
      <w:pPr>
        <w:keepNext/>
        <w:spacing w:after="40" w:before="120"/>
        <w:jc w:val="center"/>
      </w:pPr>
      <w:r>
        <w:drawing>
          <wp:inline distT="0" distB="0" distL="0" distR="0">
            <wp:extent cx="5715000" cy="2990850"/>
            <wp:effectExtent t="0" r="0" b="0" l="0"/>
            <wp:docPr id="1" name="c5.png" descr="Figure 3. Top 10 states by sales" title="Figure 3. Top 10 states by 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90850"/>
                    </a:xfrm>
                    <a:prstGeom prst="rect">
                      <a:avLst/>
                    </a:prstGeom>
                  </pic:spPr>
                </pic:pic>
              </a:graphicData>
            </a:graphic>
          </wp:inline>
        </w:drawing>
      </w:r>
    </w:p>
    <w:p>
      <w:pPr>
        <w:spacing w:after="200"/>
        <w:jc w:val="center"/>
      </w:pPr>
      <w:r>
        <w:rPr>
          <w:i/>
          <w:iCs/>
          <w:color w:val="555555"/>
          <w:sz w:val="18"/>
          <w:szCs w:val="18"/>
        </w:rPr>
        <w:t xml:space="preserve">Figure 3. Top 10 states by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560"/>
      </w:tblGrid>
      <w:tr>
        <w:trPr>
          <w:tblHeader/>
        </w:trPr>
        <w:tc>
          <w:tcPr>
            <w:tcW w:type="dxa" w:w="4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State</w:t>
            </w:r>
          </w:p>
        </w:tc>
        <w:tc>
          <w:tcPr>
            <w:tcW w:type="dxa" w:w="28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Sales</w:t>
            </w:r>
          </w:p>
        </w:tc>
        <w:tc>
          <w:tcPr>
            <w:tcW w:type="dxa" w:w="25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Share</w:t>
            </w:r>
          </w:p>
        </w:tc>
      </w:tr>
      <w:tr>
        <w:tc>
          <w:tcPr>
            <w:tcW w:type="dxa" w:w="4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California</w:t>
            </w:r>
          </w:p>
        </w:tc>
        <w:tc>
          <w:tcPr>
            <w:tcW w:type="dxa" w:w="2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$446,306</w:t>
            </w:r>
          </w:p>
        </w:tc>
        <w:tc>
          <w:tcPr>
            <w:tcW w:type="dxa" w:w="2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19.7%</w:t>
            </w:r>
          </w:p>
        </w:tc>
      </w:tr>
      <w:tr>
        <w:tc>
          <w:tcPr>
            <w:tcW w:type="dxa" w:w="4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New York</w:t>
            </w:r>
          </w:p>
        </w:tc>
        <w:tc>
          <w:tcPr>
            <w:tcW w:type="dxa" w:w="2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$306,361</w:t>
            </w:r>
          </w:p>
        </w:tc>
        <w:tc>
          <w:tcPr>
            <w:tcW w:type="dxa" w:w="2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13.5%</w:t>
            </w:r>
          </w:p>
        </w:tc>
      </w:tr>
      <w:tr>
        <w:tc>
          <w:tcPr>
            <w:tcW w:type="dxa" w:w="4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Texas</w:t>
            </w:r>
          </w:p>
        </w:tc>
        <w:tc>
          <w:tcPr>
            <w:tcW w:type="dxa" w:w="2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$168,573</w:t>
            </w:r>
          </w:p>
        </w:tc>
        <w:tc>
          <w:tcPr>
            <w:tcW w:type="dxa" w:w="2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7.5%</w:t>
            </w:r>
          </w:p>
        </w:tc>
      </w:tr>
      <w:tr>
        <w:tc>
          <w:tcPr>
            <w:tcW w:type="dxa" w:w="4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Washington</w:t>
            </w:r>
          </w:p>
        </w:tc>
        <w:tc>
          <w:tcPr>
            <w:tcW w:type="dxa" w:w="2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$135,207</w:t>
            </w:r>
          </w:p>
        </w:tc>
        <w:tc>
          <w:tcPr>
            <w:tcW w:type="dxa" w:w="2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6.0%</w:t>
            </w:r>
          </w:p>
        </w:tc>
      </w:tr>
      <w:tr>
        <w:tc>
          <w:tcPr>
            <w:tcW w:type="dxa" w:w="4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Pennsylvania</w:t>
            </w:r>
          </w:p>
        </w:tc>
        <w:tc>
          <w:tcPr>
            <w:tcW w:type="dxa" w:w="2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$116,277</w:t>
            </w:r>
          </w:p>
        </w:tc>
        <w:tc>
          <w:tcPr>
            <w:tcW w:type="dxa" w:w="2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5.1%</w:t>
            </w:r>
          </w:p>
        </w:tc>
      </w:tr>
    </w:tbl>
    <w:p>
      <w:pPr>
        <w:spacing w:after="120"/>
      </w:pPr>
    </w:p>
    <w:p>
      <w:pPr>
        <w:spacing w:after="120" w:line="276"/>
      </w:pPr>
      <w:r>
        <w:t xml:space="preserve">Top cities are New York City ($252K, 11.2% of all sales), Los Angeles ($173K), Seattle ($116K), San Francisco ($109K) and Philadelphia ($109K). The weakest states (Wyoming, South Dakota, Maine, West Virginia, North Dakota) each sell under $2K, so reach is very uneven.</w:t>
      </w:r>
    </w:p>
    <w:p>
      <w:pPr>
        <w:pStyle w:val="Heading2"/>
      </w:pPr>
      <w:r>
        <w:t xml:space="preserve">5.6 Shipping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000"/>
        <w:gridCol w:w="1960"/>
      </w:tblGrid>
      <w:tr>
        <w:trPr>
          <w:tblHeader/>
        </w:trPr>
        <w:tc>
          <w:tcPr>
            <w:tcW w:type="dxa" w:w="3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Ship mode</w:t>
            </w:r>
          </w:p>
        </w:tc>
        <w:tc>
          <w:tcPr>
            <w:tcW w:type="dxa" w:w="24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Share of sales</w:t>
            </w:r>
          </w:p>
        </w:tc>
        <w:tc>
          <w:tcPr>
            <w:tcW w:type="dxa" w:w="2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Orders</w:t>
            </w:r>
          </w:p>
        </w:tc>
        <w:tc>
          <w:tcPr>
            <w:tcW w:type="dxa" w:w="19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Avg days</w:t>
            </w:r>
          </w:p>
        </w:tc>
      </w:tr>
      <w:tr>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Standard Class</w:t>
            </w:r>
          </w:p>
        </w:tc>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59.3%</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2,945</w:t>
            </w:r>
          </w:p>
        </w:tc>
        <w:tc>
          <w:tcPr>
            <w:tcW w:type="dxa" w:w="19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5.01</w:t>
            </w:r>
          </w:p>
        </w:tc>
      </w:tr>
      <w:tr>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Second Class</w:t>
            </w:r>
          </w:p>
        </w:tc>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19.9%</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944</w:t>
            </w:r>
          </w:p>
        </w:tc>
        <w:tc>
          <w:tcPr>
            <w:tcW w:type="dxa" w:w="19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3.25</w:t>
            </w:r>
          </w:p>
        </w:tc>
      </w:tr>
      <w:tr>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First Class</w:t>
            </w:r>
          </w:p>
        </w:tc>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15.3%</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772</w:t>
            </w:r>
          </w:p>
        </w:tc>
        <w:tc>
          <w:tcPr>
            <w:tcW w:type="dxa" w:w="19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2.18</w:t>
            </w:r>
          </w:p>
        </w:tc>
      </w:tr>
      <w:tr>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Same Day</w:t>
            </w:r>
          </w:p>
        </w:tc>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5.5%</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261</w:t>
            </w:r>
          </w:p>
        </w:tc>
        <w:tc>
          <w:tcPr>
            <w:tcW w:type="dxa" w:w="19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0.04</w:t>
            </w:r>
          </w:p>
        </w:tc>
      </w:tr>
    </w:tbl>
    <w:p>
      <w:pPr>
        <w:spacing w:after="120"/>
      </w:pPr>
    </w:p>
    <w:p>
      <w:pPr>
        <w:spacing w:after="120" w:line="276"/>
      </w:pPr>
      <w:r>
        <w:t xml:space="preserve">Shipping speed is almost identical across regions (3.9 to 4.1 days average), so fulfilment is consistent. Most revenue ships by Standard Class, which averages five days and takes up to seven.</w:t>
      </w:r>
    </w:p>
    <w:p>
      <w:pPr>
        <w:pStyle w:val="Heading1"/>
      </w:pPr>
      <w:r>
        <w:t xml:space="preserve">6. Time-Series and Seasonality Analysis</w:t>
      </w:r>
    </w:p>
    <w:p>
      <w:pPr>
        <w:pStyle w:val="Heading2"/>
      </w:pPr>
      <w:r>
        <w:t xml:space="preserve">6.1 Yearly trend</w:t>
      </w:r>
    </w:p>
    <w:p>
      <w:pPr>
        <w:keepNext/>
        <w:spacing w:after="40" w:before="120"/>
        <w:jc w:val="center"/>
      </w:pPr>
      <w:r>
        <w:drawing>
          <wp:inline distT="0" distB="0" distL="0" distR="0">
            <wp:extent cx="5715000" cy="2809875"/>
            <wp:effectExtent t="0" r="0" b="0" l="0"/>
            <wp:docPr id="1" name="c1.png" descr="Figure 4. Yearly sales and growth" title="Figure 4. Yearly sales and grow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809875"/>
                    </a:xfrm>
                    <a:prstGeom prst="rect">
                      <a:avLst/>
                    </a:prstGeom>
                  </pic:spPr>
                </pic:pic>
              </a:graphicData>
            </a:graphic>
          </wp:inline>
        </w:drawing>
      </w:r>
    </w:p>
    <w:p>
      <w:pPr>
        <w:spacing w:after="200"/>
        <w:jc w:val="center"/>
      </w:pPr>
      <w:r>
        <w:rPr>
          <w:i/>
          <w:iCs/>
          <w:color w:val="555555"/>
          <w:sz w:val="18"/>
          <w:szCs w:val="18"/>
        </w:rPr>
        <w:t xml:space="preserve">Figure 4. Yearly sales and growth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400"/>
        <w:gridCol w:w="1400"/>
        <w:gridCol w:w="1560"/>
        <w:gridCol w:w="1900"/>
      </w:tblGrid>
      <w:tr>
        <w:trPr>
          <w:tblHeader/>
        </w:trPr>
        <w:tc>
          <w:tcPr>
            <w:tcW w:type="dxa" w:w="12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Year</w:t>
            </w:r>
          </w:p>
        </w:tc>
        <w:tc>
          <w:tcPr>
            <w:tcW w:type="dxa" w:w="19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Sales</w:t>
            </w:r>
          </w:p>
        </w:tc>
        <w:tc>
          <w:tcPr>
            <w:tcW w:type="dxa" w:w="14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Growth</w:t>
            </w:r>
          </w:p>
        </w:tc>
        <w:tc>
          <w:tcPr>
            <w:tcW w:type="dxa" w:w="14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Orders</w:t>
            </w:r>
          </w:p>
        </w:tc>
        <w:tc>
          <w:tcPr>
            <w:tcW w:type="dxa" w:w="15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Customers</w:t>
            </w:r>
          </w:p>
        </w:tc>
        <w:tc>
          <w:tcPr>
            <w:tcW w:type="dxa" w:w="19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Avg order value</w:t>
            </w:r>
          </w:p>
        </w:tc>
      </w:tr>
      <w:tr>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2015</w:t>
            </w:r>
          </w:p>
        </w:tc>
        <w:tc>
          <w:tcPr>
            <w:tcW w:type="dxa" w:w="1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$479,856</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n/a</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947</w:t>
            </w:r>
          </w:p>
        </w:tc>
        <w:tc>
          <w:tcPr>
            <w:tcW w:type="dxa" w:w="1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589</w:t>
            </w:r>
          </w:p>
        </w:tc>
        <w:tc>
          <w:tcPr>
            <w:tcW w:type="dxa" w:w="1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$507</w:t>
            </w:r>
          </w:p>
        </w:tc>
      </w:tr>
      <w:tr>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2016</w:t>
            </w:r>
          </w:p>
        </w:tc>
        <w:tc>
          <w:tcPr>
            <w:tcW w:type="dxa" w:w="1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$459,436</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-4.3%</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1,019</w:t>
            </w:r>
          </w:p>
        </w:tc>
        <w:tc>
          <w:tcPr>
            <w:tcW w:type="dxa" w:w="1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567</w:t>
            </w:r>
          </w:p>
        </w:tc>
        <w:tc>
          <w:tcPr>
            <w:tcW w:type="dxa" w:w="1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$451</w:t>
            </w:r>
          </w:p>
        </w:tc>
      </w:tr>
      <w:tr>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2017</w:t>
            </w:r>
          </w:p>
        </w:tc>
        <w:tc>
          <w:tcPr>
            <w:tcW w:type="dxa" w:w="1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$600,193</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+30.6%</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1,295</w:t>
            </w:r>
          </w:p>
        </w:tc>
        <w:tc>
          <w:tcPr>
            <w:tcW w:type="dxa" w:w="1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635</w:t>
            </w:r>
          </w:p>
        </w:tc>
        <w:tc>
          <w:tcPr>
            <w:tcW w:type="dxa" w:w="1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$464</w:t>
            </w:r>
          </w:p>
        </w:tc>
      </w:tr>
      <w:tr>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2018</w:t>
            </w:r>
          </w:p>
        </w:tc>
        <w:tc>
          <w:tcPr>
            <w:tcW w:type="dxa" w:w="1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$722,052</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+20.3%</w:t>
            </w:r>
          </w:p>
        </w:tc>
        <w:tc>
          <w:tcPr>
            <w:tcW w:type="dxa" w:w="1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1,661</w:t>
            </w:r>
          </w:p>
        </w:tc>
        <w:tc>
          <w:tcPr>
            <w:tcW w:type="dxa" w:w="15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690</w:t>
            </w:r>
          </w:p>
        </w:tc>
        <w:tc>
          <w:tcPr>
            <w:tcW w:type="dxa" w:w="19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$435</w:t>
            </w:r>
          </w:p>
        </w:tc>
      </w:tr>
    </w:tbl>
    <w:p>
      <w:pPr>
        <w:spacing w:after="120"/>
      </w:pPr>
    </w:p>
    <w:p>
      <w:pPr>
        <w:spacing w:after="120" w:line="276"/>
      </w:pPr>
      <w:r>
        <w:t xml:space="preserve">Growth since 2016 has come mainly from more orders and more customers, not from larger baskets. Average order value fell in every year except 2017, so the business is winning volume at a lower value per order.</w:t>
      </w:r>
    </w:p>
    <w:p>
      <w:pPr>
        <w:keepNext/>
        <w:spacing w:after="40" w:before="120"/>
        <w:jc w:val="center"/>
      </w:pPr>
      <w:r>
        <w:drawing>
          <wp:inline distT="0" distB="0" distL="0" distR="0">
            <wp:extent cx="5715000" cy="2809875"/>
            <wp:effectExtent t="0" r="0" b="0" l="0"/>
            <wp:docPr id="1" name="c7.png" descr="Figure 5. Monthly sales with 3-month rolling average" title="Figure 5. Monthly sales with 3-month rolling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809875"/>
                    </a:xfrm>
                    <a:prstGeom prst="rect">
                      <a:avLst/>
                    </a:prstGeom>
                  </pic:spPr>
                </pic:pic>
              </a:graphicData>
            </a:graphic>
          </wp:inline>
        </w:drawing>
      </w:r>
    </w:p>
    <w:p>
      <w:pPr>
        <w:spacing w:after="200"/>
        <w:jc w:val="center"/>
      </w:pPr>
      <w:r>
        <w:rPr>
          <w:i/>
          <w:iCs/>
          <w:color w:val="555555"/>
          <w:sz w:val="18"/>
          <w:szCs w:val="18"/>
        </w:rPr>
        <w:t xml:space="preserve">Figure 5. Monthly sales with 3-month rolling average</w:t>
      </w:r>
    </w:p>
    <w:p>
      <w:pPr>
        <w:pStyle w:val="Heading2"/>
      </w:pPr>
      <w:r>
        <w:t xml:space="preserve">6.2 Who drove the growth (2015 to 2018)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700"/>
        <w:gridCol w:w="1700"/>
        <w:gridCol w:w="1760"/>
      </w:tblGrid>
      <w:tr>
        <w:trPr>
          <w:tblHeader/>
        </w:trPr>
        <w:tc>
          <w:tcPr>
            <w:tcW w:type="dxa" w:w="18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Dimension</w:t>
            </w:r>
          </w:p>
        </w:tc>
        <w:tc>
          <w:tcPr>
            <w:tcW w:type="dxa" w:w="24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Group</w:t>
            </w:r>
          </w:p>
        </w:tc>
        <w:tc>
          <w:tcPr>
            <w:tcW w:type="dxa" w:w="17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2015</w:t>
            </w:r>
          </w:p>
        </w:tc>
        <w:tc>
          <w:tcPr>
            <w:tcW w:type="dxa" w:w="17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2018</w:t>
            </w:r>
          </w:p>
        </w:tc>
        <w:tc>
          <w:tcPr>
            <w:tcW w:type="dxa" w:w="17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Change</w:t>
            </w:r>
          </w:p>
        </w:tc>
      </w:tr>
      <w:tr>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Region</w:t>
            </w:r>
          </w:p>
        </w:tc>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West</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$145.9K</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$248.1K</w:t>
            </w:r>
          </w:p>
        </w:tc>
        <w:tc>
          <w:tcPr>
            <w:tcW w:type="dxa" w:w="17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+70%</w:t>
            </w:r>
          </w:p>
        </w:tc>
      </w:tr>
      <w:tr>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Region</w:t>
            </w:r>
          </w:p>
        </w:tc>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East</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$127.7K</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$210.1K</w:t>
            </w:r>
          </w:p>
        </w:tc>
        <w:tc>
          <w:tcPr>
            <w:tcW w:type="dxa" w:w="17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+65%</w:t>
            </w:r>
          </w:p>
        </w:tc>
      </w:tr>
      <w:tr>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Region</w:t>
            </w:r>
          </w:p>
        </w:tc>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Central</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$102.9K</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$141.6K</w:t>
            </w:r>
          </w:p>
        </w:tc>
        <w:tc>
          <w:tcPr>
            <w:tcW w:type="dxa" w:w="17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+38%</w:t>
            </w:r>
          </w:p>
        </w:tc>
      </w:tr>
      <w:tr>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Region</w:t>
            </w:r>
          </w:p>
        </w:tc>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South</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$103.4K</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$122.2K</w:t>
            </w:r>
          </w:p>
        </w:tc>
        <w:tc>
          <w:tcPr>
            <w:tcW w:type="dxa" w:w="17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+18%</w:t>
            </w:r>
          </w:p>
        </w:tc>
      </w:tr>
      <w:tr>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Category</w:t>
            </w:r>
          </w:p>
        </w:tc>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Office Supplies</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$149.5K</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$240.4K</w:t>
            </w:r>
          </w:p>
        </w:tc>
        <w:tc>
          <w:tcPr>
            <w:tcW w:type="dxa" w:w="17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+61%</w:t>
            </w:r>
          </w:p>
        </w:tc>
      </w:tr>
      <w:tr>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Category</w:t>
            </w:r>
          </w:p>
        </w:tc>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Technology</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$173.9K</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$269.4K</w:t>
            </w:r>
          </w:p>
        </w:tc>
        <w:tc>
          <w:tcPr>
            <w:tcW w:type="dxa" w:w="17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+55%</w:t>
            </w:r>
          </w:p>
        </w:tc>
      </w:tr>
      <w:tr>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Category</w:t>
            </w:r>
          </w:p>
        </w:tc>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Furniture</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$156.5K</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$212.3K</w:t>
            </w:r>
          </w:p>
        </w:tc>
        <w:tc>
          <w:tcPr>
            <w:tcW w:type="dxa" w:w="17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+36%</w:t>
            </w:r>
          </w:p>
        </w:tc>
      </w:tr>
      <w:tr>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Segment</w:t>
            </w:r>
          </w:p>
        </w:tc>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Corporate</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$127.8K</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$236.0K</w:t>
            </w:r>
          </w:p>
        </w:tc>
        <w:tc>
          <w:tcPr>
            <w:tcW w:type="dxa" w:w="17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+85%</w:t>
            </w:r>
          </w:p>
        </w:tc>
      </w:tr>
      <w:tr>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Segment</w:t>
            </w:r>
          </w:p>
        </w:tc>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Home Office</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$89.1K</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$157.4K</w:t>
            </w:r>
          </w:p>
        </w:tc>
        <w:tc>
          <w:tcPr>
            <w:tcW w:type="dxa" w:w="17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+77%</w:t>
            </w:r>
          </w:p>
        </w:tc>
      </w:tr>
      <w:tr>
        <w:tc>
          <w:tcPr>
            <w:tcW w:type="dxa" w:w="18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Segment</w:t>
            </w:r>
          </w:p>
        </w:tc>
        <w:tc>
          <w:tcPr>
            <w:tcW w:type="dxa" w:w="24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Consumer</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$263.0K</w:t>
            </w:r>
          </w:p>
        </w:tc>
        <w:tc>
          <w:tcPr>
            <w:tcW w:type="dxa" w:w="17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$328.6K</w:t>
            </w:r>
          </w:p>
        </w:tc>
        <w:tc>
          <w:tcPr>
            <w:tcW w:type="dxa" w:w="17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+25%</w:t>
            </w:r>
          </w:p>
        </w:tc>
      </w:tr>
    </w:tbl>
    <w:p>
      <w:pPr>
        <w:spacing w:after="120"/>
      </w:pPr>
    </w:p>
    <w:p>
      <w:pPr>
        <w:keepNext/>
        <w:spacing w:after="40" w:before="120"/>
        <w:jc w:val="center"/>
      </w:pPr>
      <w:r>
        <w:drawing>
          <wp:inline distT="0" distB="0" distL="0" distR="0">
            <wp:extent cx="5715000" cy="2809875"/>
            <wp:effectExtent t="0" r="0" b="0" l="0"/>
            <wp:docPr id="1" name="c6.png" descr="Figure 6. Sales by customer segment and year" title="Figure 6. Sales by customer segment and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809875"/>
                    </a:xfrm>
                    <a:prstGeom prst="rect">
                      <a:avLst/>
                    </a:prstGeom>
                  </pic:spPr>
                </pic:pic>
              </a:graphicData>
            </a:graphic>
          </wp:inline>
        </w:drawing>
      </w:r>
    </w:p>
    <w:p>
      <w:pPr>
        <w:spacing w:after="200"/>
        <w:jc w:val="center"/>
      </w:pPr>
      <w:r>
        <w:rPr>
          <w:i/>
          <w:iCs/>
          <w:color w:val="555555"/>
          <w:sz w:val="18"/>
          <w:szCs w:val="18"/>
        </w:rPr>
        <w:t xml:space="preserve">Figure 6. Sales by customer segment and year</w:t>
      </w:r>
    </w:p>
    <w:p>
      <w:pPr>
        <w:spacing w:after="120" w:line="276"/>
      </w:pPr>
      <w:r>
        <w:t xml:space="preserve">Three shifts stand out. West and East are pulling away while South has barely grown (and fell 32% in 2016). Office Supplies overtook Furniture in 2018. Corporate and Home Office are growing far faster than Consumer, so Consumer’s share of sales fell from 54.8% to 45.5%.</w:t>
      </w:r>
    </w:p>
    <w:p>
      <w:pPr>
        <w:pStyle w:val="Heading2"/>
      </w:pPr>
      <w:r>
        <w:t xml:space="preserve">6.3 Seasonality</w:t>
      </w:r>
    </w:p>
    <w:p>
      <w:pPr>
        <w:keepNext/>
        <w:spacing w:after="40" w:before="120"/>
        <w:jc w:val="center"/>
      </w:pPr>
      <w:r>
        <w:drawing>
          <wp:inline distT="0" distB="0" distL="0" distR="0">
            <wp:extent cx="5715000" cy="2809875"/>
            <wp:effectExtent t="0" r="0" b="0" l="0"/>
            <wp:docPr id="1" name="c2.png" descr="Figure 7. Sales by calendar month (highlighted: Sep, Nov, Dec)" title="Figure 7. Sales by calendar month (highlighted: Sep, Nov, D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809875"/>
                    </a:xfrm>
                    <a:prstGeom prst="rect">
                      <a:avLst/>
                    </a:prstGeom>
                  </pic:spPr>
                </pic:pic>
              </a:graphicData>
            </a:graphic>
          </wp:inline>
        </w:drawing>
      </w:r>
    </w:p>
    <w:p>
      <w:pPr>
        <w:spacing w:after="200"/>
        <w:jc w:val="center"/>
      </w:pPr>
      <w:r>
        <w:rPr>
          <w:i/>
          <w:iCs/>
          <w:color w:val="555555"/>
          <w:sz w:val="18"/>
          <w:szCs w:val="18"/>
        </w:rPr>
        <w:t xml:space="preserve">Figure 7. Sales by calendar month (highlighted: Sep, Nov, Dec)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rPr>
          <w:tblHeader/>
        </w:trPr>
        <w:tc>
          <w:tcPr>
            <w:tcW w:type="dxa" w:w="3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Quarter</w:t>
            </w:r>
          </w:p>
        </w:tc>
        <w:tc>
          <w:tcPr>
            <w:tcW w:type="dxa" w:w="33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Sales</w:t>
            </w:r>
          </w:p>
        </w:tc>
        <w:tc>
          <w:tcPr>
            <w:tcW w:type="dxa" w:w="30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Share</w:t>
            </w:r>
          </w:p>
        </w:tc>
      </w:tr>
      <w:tr>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Q1</w:t>
            </w:r>
          </w:p>
        </w:tc>
        <w:tc>
          <w:tcPr>
            <w:tcW w:type="dxa" w:w="3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$351,236</w:t>
            </w:r>
          </w:p>
        </w:tc>
        <w:tc>
          <w:tcPr>
            <w:tcW w:type="dxa" w:w="30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15.5%</w:t>
            </w:r>
          </w:p>
        </w:tc>
      </w:tr>
      <w:tr>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Q2</w:t>
            </w:r>
          </w:p>
        </w:tc>
        <w:tc>
          <w:tcPr>
            <w:tcW w:type="dxa" w:w="3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$436,207</w:t>
            </w:r>
          </w:p>
        </w:tc>
        <w:tc>
          <w:tcPr>
            <w:tcW w:type="dxa" w:w="30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19.3%</w:t>
            </w:r>
          </w:p>
        </w:tc>
      </w:tr>
      <w:tr>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Q3</w:t>
            </w:r>
          </w:p>
        </w:tc>
        <w:tc>
          <w:tcPr>
            <w:tcW w:type="dxa" w:w="3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$602,955</w:t>
            </w:r>
          </w:p>
        </w:tc>
        <w:tc>
          <w:tcPr>
            <w:tcW w:type="dxa" w:w="30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26.7%</w:t>
            </w:r>
          </w:p>
        </w:tc>
      </w:tr>
      <w:tr>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Q4</w:t>
            </w:r>
          </w:p>
        </w:tc>
        <w:tc>
          <w:tcPr>
            <w:tcW w:type="dxa" w:w="3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$871,138</w:t>
            </w:r>
          </w:p>
        </w:tc>
        <w:tc>
          <w:tcPr>
            <w:tcW w:type="dxa" w:w="30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38.5%</w:t>
            </w:r>
          </w:p>
        </w:tc>
      </w:tr>
    </w:tbl>
    <w:p>
      <w:pPr>
        <w:spacing w:after="120"/>
      </w:pPr>
    </w:p>
    <w:p>
      <w:pPr>
        <w:spacing w:after="120" w:line="276"/>
      </w:pPr>
      <w:r>
        <w:t xml:space="preserve">The strongest months across all four years are November ($350K), December ($321K) and September ($300K), with a smaller March peak ($198K). The weakest are February ($59K) and January ($94K). The September jump (about double August) recurs in every year, which points to a recurring back-to-business or budget-cycle effect rather than a one-off.</w:t>
      </w:r>
    </w:p>
    <w:p>
      <w:pPr>
        <w:pStyle w:val="Heading1"/>
      </w:pPr>
      <w:r>
        <w:t xml:space="preserve">7. Product and Customer Analysis</w:t>
      </w:r>
    </w:p>
    <w:p>
      <w:pPr>
        <w:pStyle w:val="Heading2"/>
      </w:pPr>
      <w:r>
        <w:t xml:space="preserve">7.1 Top products</w:t>
      </w:r>
    </w:p>
    <w:p>
      <w:pPr>
        <w:spacing w:after="120" w:line="276"/>
      </w:pPr>
      <w:r>
        <w:t xml:space="preserve">The top ten products account for only 10.8% of sales, so revenue is not dependent on a few items. The leader is the Canon imageCLASS 2200 Advanced Copier ($61.6K, 2.7% of all sales), followed by the Fellowes PB500 binding machine ($27.5K), Cisco TelePresence System EX90 ($22.6K), HON 5400 Series Task Chairs ($21.9K) and GBC DocuBind TL300 ($19.8K). Copiers, binding machines and large-format equipment dominate the top ten.</w:t>
      </w:r>
    </w:p>
    <w:p>
      <w:pPr>
        <w:pStyle w:val="Heading2"/>
      </w:pPr>
      <w:r>
        <w:t xml:space="preserve">7.2 Customer concentration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Measure</w:t>
            </w:r>
          </w:p>
        </w:tc>
        <w:tc>
          <w:tcPr>
            <w:tcW w:type="dxa" w:w="468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Value</w:t>
            </w:r>
          </w:p>
        </w:tc>
      </w:tr>
      <w:tr>
        <w:tc>
          <w:tcPr>
            <w:tcW w:type="dxa" w:w="46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Average sales per customer</w:t>
            </w:r>
          </w:p>
        </w:tc>
        <w:tc>
          <w:tcPr>
            <w:tcW w:type="dxa" w:w="46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$2,852 (median $2,215)</w:t>
            </w:r>
          </w:p>
        </w:tc>
      </w:tr>
      <w:tr>
        <w:tc>
          <w:tcPr>
            <w:tcW w:type="dxa" w:w="46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Customers who ordered more than once</w:t>
            </w:r>
          </w:p>
        </w:tc>
        <w:tc>
          <w:tcPr>
            <w:tcW w:type="dxa" w:w="46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98.4%</w:t>
            </w:r>
          </w:p>
        </w:tc>
      </w:tr>
      <w:tr>
        <w:tc>
          <w:tcPr>
            <w:tcW w:type="dxa" w:w="46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Average orders per customer</w:t>
            </w:r>
          </w:p>
        </w:tc>
        <w:tc>
          <w:tcPr>
            <w:tcW w:type="dxa" w:w="46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6.2</w:t>
            </w:r>
          </w:p>
        </w:tc>
      </w:tr>
      <w:tr>
        <w:tc>
          <w:tcPr>
            <w:tcW w:type="dxa" w:w="46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Top 10% of customers (79)</w:t>
            </w:r>
          </w:p>
        </w:tc>
        <w:tc>
          <w:tcPr>
            <w:tcW w:type="dxa" w:w="46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30.9% of sales</w:t>
            </w:r>
          </w:p>
        </w:tc>
      </w:tr>
      <w:tr>
        <w:tc>
          <w:tcPr>
            <w:tcW w:type="dxa" w:w="46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Top 20% of customers</w:t>
            </w:r>
          </w:p>
        </w:tc>
        <w:tc>
          <w:tcPr>
            <w:tcW w:type="dxa" w:w="468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48.3% of sales</w:t>
            </w:r>
          </w:p>
        </w:tc>
      </w:tr>
    </w:tbl>
    <w:p>
      <w:pPr>
        <w:spacing w:after="120"/>
      </w:pPr>
    </w:p>
    <w:p>
      <w:pPr>
        <w:spacing w:after="120" w:line="276"/>
      </w:pPr>
      <w:r>
        <w:t xml:space="preserve">Top customers are Sean Miller ($25.0K), Tamara Chand ($19.1K), Raymond Buch ($15.1K), Tom Ashbrook ($14.6K) and Adrian Barton ($14.5K). Some high spenders buy rarely and in large lots (Sean Miller: 5 orders), while others are frequent buyers (Ken Lonsdale: 12 orders).</w:t>
      </w:r>
    </w:p>
    <w:p>
      <w:pPr>
        <w:pStyle w:val="Heading2"/>
      </w:pPr>
      <w:r>
        <w:t xml:space="preserve">7.3 Customer value tiers</w:t>
      </w:r>
    </w:p>
    <w:p>
      <w:pPr>
        <w:spacing w:after="120" w:line="276"/>
      </w:pPr>
      <w:r>
        <w:t xml:space="preserve">Using the project’s own thresholds (Low under $1K, Medium $1K to $5K, High $5K to $10K, VIP above $10K):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300"/>
        <w:gridCol w:w="2060"/>
      </w:tblGrid>
      <w:tr>
        <w:trPr>
          <w:tblHeader/>
        </w:trPr>
        <w:tc>
          <w:tcPr>
            <w:tcW w:type="dxa" w:w="3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Tier</w:t>
            </w:r>
          </w:p>
        </w:tc>
        <w:tc>
          <w:tcPr>
            <w:tcW w:type="dxa" w:w="20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Customers</w:t>
            </w:r>
          </w:p>
        </w:tc>
        <w:tc>
          <w:tcPr>
            <w:tcW w:type="dxa" w:w="23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Sales share</w:t>
            </w:r>
          </w:p>
        </w:tc>
        <w:tc>
          <w:tcPr>
            <w:tcW w:type="dxa" w:w="20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Avg orders</w:t>
            </w:r>
          </w:p>
        </w:tc>
      </w:tr>
      <w:tr>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Low value</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178</w:t>
            </w:r>
          </w:p>
        </w:tc>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4.4%</w:t>
            </w:r>
          </w:p>
        </w:tc>
        <w:tc>
          <w:tcPr>
            <w:tcW w:type="dxa" w:w="20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4.1</w:t>
            </w:r>
          </w:p>
        </w:tc>
      </w:tr>
      <w:tr>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Medium value</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501</w:t>
            </w:r>
          </w:p>
        </w:tc>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56.3%</w:t>
            </w:r>
          </w:p>
        </w:tc>
        <w:tc>
          <w:tcPr>
            <w:tcW w:type="dxa" w:w="20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6.5</w:t>
            </w:r>
          </w:p>
        </w:tc>
      </w:tr>
      <w:tr>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High value</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95</w:t>
            </w:r>
          </w:p>
        </w:tc>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28.1%</w:t>
            </w:r>
          </w:p>
        </w:tc>
        <w:tc>
          <w:tcPr>
            <w:tcW w:type="dxa" w:w="20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8.0</w:t>
            </w:r>
          </w:p>
        </w:tc>
      </w:tr>
      <w:tr>
        <w:tc>
          <w:tcPr>
            <w:tcW w:type="dxa" w:w="3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VIP</w:t>
            </w:r>
          </w:p>
        </w:tc>
        <w:tc>
          <w:tcPr>
            <w:tcW w:type="dxa" w:w="20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19</w:t>
            </w:r>
          </w:p>
        </w:tc>
        <w:tc>
          <w:tcPr>
            <w:tcW w:type="dxa" w:w="23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11.3%</w:t>
            </w:r>
          </w:p>
        </w:tc>
        <w:tc>
          <w:tcPr>
            <w:tcW w:type="dxa" w:w="20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7.7</w:t>
            </w:r>
          </w:p>
        </w:tc>
      </w:tr>
    </w:tbl>
    <w:p>
      <w:pPr>
        <w:spacing w:after="120"/>
      </w:pPr>
    </w:p>
    <w:p>
      <w:pPr>
        <w:spacing w:after="120" w:line="276"/>
      </w:pPr>
      <w:r>
        <w:t xml:space="preserve">The Medium tier is the real backbone: 63% of customers and 56% of revenue. Moving Medium customers up into High is a bigger prize than protecting the 19 VIPs alone.</w:t>
      </w:r>
    </w:p>
    <w:p>
      <w:pPr>
        <w:pStyle w:val="Heading1"/>
      </w:pPr>
      <w:r>
        <w:t xml:space="preserve">8. Dashboard Summary (Power BI)</w:t>
      </w:r>
    </w:p>
    <w:p>
      <w:pPr>
        <w:spacing w:after="120" w:line="276"/>
      </w:pPr>
      <w:r>
        <w:t xml:space="preserve">The </w:t>
      </w:r>
      <w:r>
        <w:rPr>
          <w:rFonts w:ascii="Consolas" w:cs="Consolas" w:eastAsia="Consolas" w:hAnsi="Consolas"/>
          <w:sz w:val="19"/>
          <w:szCs w:val="19"/>
        </w:rPr>
        <w:t xml:space="preserve">sales_dashboard.pbix</w:t>
      </w:r>
      <w:r>
        <w:t xml:space="preserve"> file has three pages built on a DateTable and the Sales_data table:</w:t>
      </w:r>
    </w:p>
    <w:p>
      <w:pPr>
        <w:pStyle w:val="ListParagraph"/>
        <w:numPr>
          <w:ilvl w:val="0"/>
          <w:numId w:val="2"/>
        </w:numPr>
        <w:spacing w:after="60" w:line="264"/>
      </w:pPr>
      <w:r>
        <w:rPr>
          <w:b/>
          <w:bCs/>
        </w:rPr>
        <w:t xml:space="preserve">Executive Dashboard:</w:t>
      </w:r>
      <w:r>
        <w:t xml:space="preserve"> KPI cards (Total Sales, Total Products, Total Customers, Total Orders, Average Order Value), monthly sales trend, sales by category, region and customer segment, top 10 states, and slicers for year, region, segment, category and ship mode.</w:t>
      </w:r>
    </w:p>
    <w:p>
      <w:pPr>
        <w:pStyle w:val="ListParagraph"/>
        <w:numPr>
          <w:ilvl w:val="0"/>
          <w:numId w:val="2"/>
        </w:numPr>
        <w:spacing w:after="60" w:line="264"/>
      </w:pPr>
      <w:r>
        <w:rPr>
          <w:b/>
          <w:bCs/>
        </w:rPr>
        <w:t xml:space="preserve">Sales Performance:</w:t>
      </w:r>
      <w:r>
        <w:t xml:space="preserve"> KPI cards, yearly and monthly trends, category and sub-category performance, regional and state sales, sales by ship mode.</w:t>
      </w:r>
    </w:p>
    <w:p>
      <w:pPr>
        <w:pStyle w:val="ListParagraph"/>
        <w:numPr>
          <w:ilvl w:val="0"/>
          <w:numId w:val="2"/>
        </w:numPr>
        <w:spacing w:after="60" w:line="264"/>
      </w:pPr>
      <w:r>
        <w:rPr>
          <w:b/>
          <w:bCs/>
        </w:rPr>
        <w:t xml:space="preserve">Customer &amp; Product Analysis:</w:t>
      </w:r>
      <w:r>
        <w:t xml:space="preserve"> top customers and products, segment, region, category and sub-category charts, plus detail tables for customer and product sales.</w:t>
      </w:r>
    </w:p>
    <w:p>
      <w:pPr>
        <w:spacing w:after="120"/>
      </w:pPr>
    </w:p>
    <w:p>
      <w:pPr>
        <w:spacing w:after="120" w:line="276"/>
      </w:pPr>
      <w:r>
        <w:t xml:space="preserve">Small fixes to make: the first page is titled “Excutive Dashboard” (typo), and the “Yearly Sales Performance” chart on page two plots Year Month on its axis rather than Year.</w:t>
      </w:r>
    </w:p>
    <w:p>
      <w:pPr>
        <w:pStyle w:val="Heading1"/>
      </w:pPr>
      <w:r>
        <w:t xml:space="preserve">9. Project Review: Issues Found</w:t>
      </w:r>
    </w:p>
    <w:p>
      <w:pPr>
        <w:spacing w:after="120" w:line="276"/>
      </w:pPr>
      <w:r>
        <w:t xml:space="preserve">These are the problems found while reviewing the notebooks, SQL and files. Fixing them will make the project safer to present.</w:t>
      </w:r>
    </w:p>
    <w:p>
      <w:pPr>
        <w:spacing w:after="120" w:line="276"/>
      </w:pPr>
      <w:r>
        <w:rPr>
          <w:b/>
          <w:bCs/>
        </w:rPr>
        <w:t xml:space="preserve">Content and logic issues</w:t>
      </w:r>
    </w:p>
    <w:p>
      <w:pPr>
        <w:pStyle w:val="ListParagraph"/>
        <w:numPr>
          <w:ilvl w:val="0"/>
          <w:numId w:val="3"/>
        </w:numPr>
        <w:spacing w:after="60" w:line="264"/>
      </w:pPr>
      <w:r>
        <w:rPr>
          <w:b/>
          <w:bCs/>
        </w:rPr>
        <w:t xml:space="preserve">No profit data exists.</w:t>
      </w:r>
      <w:r>
        <w:t xml:space="preserve"> The cleaning notebook lists Quantity, Discounts and Profit as dataset contents, and the notebooks and recommendations discuss profit, margins and discounts, but the CSV has none of these columns. Business question 2 (“Which category generates the highest profit?”) cannot be answered. Either add the profit data or remove the profit claims.</w:t>
      </w:r>
    </w:p>
    <w:p>
      <w:pPr>
        <w:pStyle w:val="ListParagraph"/>
        <w:numPr>
          <w:ilvl w:val="0"/>
          <w:numId w:val="3"/>
        </w:numPr>
        <w:spacing w:after="60" w:line="264"/>
      </w:pPr>
      <w:r>
        <w:rPr>
          <w:b/>
          <w:bCs/>
        </w:rPr>
        <w:t xml:space="preserve">Wrong key finding.</w:t>
      </w:r>
      <w:r>
        <w:t xml:space="preserve"> Sales_Analysis states “the most valuable customer segment was Phones.” Phones is a sub-category. The correct answer is </w:t>
      </w:r>
      <w:r>
        <w:rPr>
          <w:b/>
          <w:bCs/>
        </w:rPr>
        <w:t xml:space="preserve">Consumer</w:t>
      </w:r>
      <w:r>
        <w:t xml:space="preserve"> by total sales ($1.15M) or </w:t>
      </w:r>
      <w:r>
        <w:rPr>
          <w:b/>
          <w:bCs/>
        </w:rPr>
        <w:t xml:space="preserve">Corporate</w:t>
      </w:r>
      <w:r>
        <w:t xml:space="preserve"> by sales per customer ($2,917), a very small difference.</w:t>
      </w:r>
    </w:p>
    <w:p>
      <w:pPr>
        <w:pStyle w:val="ListParagraph"/>
        <w:numPr>
          <w:ilvl w:val="0"/>
          <w:numId w:val="3"/>
        </w:numPr>
        <w:spacing w:after="60" w:line="264"/>
      </w:pPr>
      <w:r>
        <w:rPr>
          <w:b/>
          <w:bCs/>
        </w:rPr>
        <w:t xml:space="preserve">“Monthly profit” is actually sales.</w:t>
      </w:r>
      <w:r>
        <w:t xml:space="preserve"> In Time_Series_Analysis the monthly_profit cell sums the Sales column.</w:t>
      </w:r>
    </w:p>
    <w:p>
      <w:pPr>
        <w:pStyle w:val="ListParagraph"/>
        <w:numPr>
          <w:ilvl w:val="0"/>
          <w:numId w:val="3"/>
        </w:numPr>
        <w:spacing w:after="60" w:line="264"/>
      </w:pPr>
      <w:r>
        <w:rPr>
          <w:b/>
          <w:bCs/>
        </w:rPr>
        <w:t xml:space="preserve">Broken cell.</w:t>
      </w:r>
      <w:r>
        <w:t xml:space="preserve"> The “High-Sales but Low-Profit Products” cell in Product_Customer_Analysis has an incomplete condition (a dangling </w:t>
      </w:r>
      <w:r>
        <w:rPr>
          <w:rFonts w:ascii="Consolas" w:cs="Consolas" w:eastAsia="Consolas" w:hAnsi="Consolas"/>
          <w:sz w:val="19"/>
          <w:szCs w:val="19"/>
        </w:rPr>
        <w:t xml:space="preserve">&amp;</w:t>
      </w:r>
      <w:r>
        <w:t xml:space="preserve">) and would error.</w:t>
      </w:r>
    </w:p>
    <w:p>
      <w:pPr>
        <w:pStyle w:val="ListParagraph"/>
        <w:numPr>
          <w:ilvl w:val="0"/>
          <w:numId w:val="3"/>
        </w:numPr>
        <w:spacing w:after="60" w:line="264"/>
      </w:pPr>
      <w:r>
        <w:rPr>
          <w:b/>
          <w:bCs/>
        </w:rPr>
        <w:t xml:space="preserve">Empty notebook.</w:t>
      </w:r>
      <w:r>
        <w:t xml:space="preserve"> Business_Insights is blank, and Untitled1 and Untitled2 are empty checkpoints.</w:t>
      </w:r>
    </w:p>
    <w:p>
      <w:pPr>
        <w:spacing w:after="120" w:before="160"/>
      </w:pPr>
      <w:r>
        <w:rPr>
          <w:b/>
          <w:bCs/>
        </w:rPr>
        <w:t xml:space="preserve">Engineering issues</w:t>
      </w:r>
    </w:p>
    <w:p>
      <w:pPr>
        <w:pStyle w:val="ListParagraph"/>
        <w:numPr>
          <w:ilvl w:val="0"/>
          <w:numId w:val="4"/>
        </w:numPr>
        <w:spacing w:after="60" w:line="264"/>
      </w:pPr>
      <w:r>
        <w:t xml:space="preserve">Notebooks use a hard-coded Windows path (</w:t>
      </w:r>
      <w:r>
        <w:rPr>
          <w:rFonts w:ascii="Consolas" w:cs="Consolas" w:eastAsia="Consolas" w:hAnsi="Consolas"/>
          <w:sz w:val="19"/>
          <w:szCs w:val="19"/>
        </w:rPr>
        <w:t xml:space="preserve">C:\Users\USER\Downloads\...</w:t>
      </w:r>
      <w:r>
        <w:t xml:space="preserve">), so nobody else can run them without editing.</w:t>
      </w:r>
    </w:p>
    <w:p>
      <w:pPr>
        <w:pStyle w:val="ListParagraph"/>
        <w:numPr>
          <w:ilvl w:val="0"/>
          <w:numId w:val="4"/>
        </w:numPr>
        <w:spacing w:after="60" w:line="264"/>
      </w:pPr>
      <w:r>
        <w:t xml:space="preserve">The cleaning notebook overwrites its own input (</w:t>
      </w:r>
      <w:r>
        <w:rPr>
          <w:rFonts w:ascii="Consolas" w:cs="Consolas" w:eastAsia="Consolas" w:hAnsi="Consolas"/>
          <w:sz w:val="19"/>
          <w:szCs w:val="19"/>
        </w:rPr>
        <w:t xml:space="preserve">train.csv</w:t>
      </w:r>
      <w:r>
        <w:t xml:space="preserve">), and </w:t>
      </w:r>
      <w:r>
        <w:rPr>
          <w:rFonts w:ascii="Consolas" w:cs="Consolas" w:eastAsia="Consolas" w:hAnsi="Consolas"/>
          <w:sz w:val="19"/>
          <w:szCs w:val="19"/>
        </w:rPr>
        <w:t xml:space="preserve">train.csv</w:t>
      </w:r>
      <w:r>
        <w:t xml:space="preserve"> and </w:t>
      </w:r>
      <w:r>
        <w:rPr>
          <w:rFonts w:ascii="Consolas" w:cs="Consolas" w:eastAsia="Consolas" w:hAnsi="Consolas"/>
          <w:sz w:val="19"/>
          <w:szCs w:val="19"/>
        </w:rPr>
        <w:t xml:space="preserve">Sales_data.csv</w:t>
      </w:r>
      <w:r>
        <w:t xml:space="preserve"> are byte-identical. Keep one raw file and write cleaned output to a separate name.</w:t>
      </w:r>
    </w:p>
    <w:p>
      <w:pPr>
        <w:pStyle w:val="ListParagraph"/>
        <w:numPr>
          <w:ilvl w:val="0"/>
          <w:numId w:val="4"/>
        </w:numPr>
        <w:spacing w:after="60" w:line="264"/>
      </w:pPr>
      <w:r>
        <w:rPr>
          <w:rFonts w:ascii="Consolas" w:cs="Consolas" w:eastAsia="Consolas" w:hAnsi="Consolas"/>
          <w:sz w:val="19"/>
          <w:szCs w:val="19"/>
        </w:rPr>
        <w:t xml:space="preserve">03_business_analysis.sql</w:t>
      </w:r>
      <w:r>
        <w:t xml:space="preserve"> contains the stray text “Section J — Monthly Sales”, and </w:t>
      </w:r>
      <w:r>
        <w:rPr>
          <w:rFonts w:ascii="Consolas" w:cs="Consolas" w:eastAsia="Consolas" w:hAnsi="Consolas"/>
          <w:sz w:val="19"/>
          <w:szCs w:val="19"/>
        </w:rPr>
        <w:t xml:space="preserve">04_advanced_analysis.sql</w:t>
      </w:r>
      <w:r>
        <w:t xml:space="preserve"> ends with the stray text “Then:”. Both will cause syntax errors if run as-is.</w:t>
      </w:r>
    </w:p>
    <w:p>
      <w:pPr>
        <w:pStyle w:val="ListParagraph"/>
        <w:numPr>
          <w:ilvl w:val="0"/>
          <w:numId w:val="4"/>
        </w:numPr>
        <w:spacing w:after="60" w:line="264"/>
      </w:pPr>
      <w:r>
        <w:t xml:space="preserve">The SQL table defines </w:t>
      </w:r>
      <w:r>
        <w:rPr>
          <w:rFonts w:ascii="Consolas" w:cs="Consolas" w:eastAsia="Consolas" w:hAnsi="Consolas"/>
          <w:sz w:val="19"/>
          <w:szCs w:val="19"/>
        </w:rPr>
        <w:t xml:space="preserve">quarter</w:t>
      </w:r>
      <w:r>
        <w:t xml:space="preserve"> and </w:t>
      </w:r>
      <w:r>
        <w:rPr>
          <w:rFonts w:ascii="Consolas" w:cs="Consolas" w:eastAsia="Consolas" w:hAnsi="Consolas"/>
          <w:sz w:val="19"/>
          <w:szCs w:val="19"/>
        </w:rPr>
        <w:t xml:space="preserve">postal_code</w:t>
      </w:r>
      <w:r>
        <w:t xml:space="preserve"> as VARCHAR, while the CSV holds integer quarters and decimal postal codes (for example 42420.0). Clean these on import.</w:t>
      </w:r>
    </w:p>
    <w:p>
      <w:pPr>
        <w:pStyle w:val="ListParagraph"/>
        <w:numPr>
          <w:ilvl w:val="0"/>
          <w:numId w:val="4"/>
        </w:numPr>
        <w:spacing w:after="60" w:line="264"/>
      </w:pPr>
      <w:r>
        <w:t xml:space="preserve">The </w:t>
      </w:r>
      <w:r>
        <w:rPr>
          <w:rFonts w:ascii="Consolas" w:cs="Consolas" w:eastAsia="Consolas" w:hAnsi="Consolas"/>
          <w:sz w:val="19"/>
          <w:szCs w:val="19"/>
        </w:rPr>
        <w:t xml:space="preserve">.ipynb_checkpoints</w:t>
      </w:r>
      <w:r>
        <w:t xml:space="preserve"> folder duplicates the notebooks and should be excluded from the repository. The </w:t>
      </w:r>
      <w:r>
        <w:rPr>
          <w:rFonts w:ascii="Consolas" w:cs="Consolas" w:eastAsia="Consolas" w:hAnsi="Consolas"/>
          <w:sz w:val="19"/>
          <w:szCs w:val="19"/>
        </w:rPr>
        <w:t xml:space="preserve">screenshots</w:t>
      </w:r>
      <w:r>
        <w:t xml:space="preserve"> folder is empty.</w:t>
      </w:r>
    </w:p>
    <w:p>
      <w:pPr>
        <w:pStyle w:val="Heading1"/>
      </w:pPr>
      <w:r>
        <w:t xml:space="preserve">10. Business Insights</w:t>
      </w:r>
    </w:p>
    <w:p>
      <w:pPr>
        <w:pStyle w:val="ListParagraph"/>
        <w:numPr>
          <w:ilvl w:val="0"/>
          <w:numId w:val="5"/>
        </w:numPr>
        <w:spacing w:after="60" w:line="264"/>
      </w:pPr>
      <w:r>
        <w:rPr>
          <w:b/>
          <w:bCs/>
        </w:rPr>
        <w:t xml:space="preserve">Revenue is expanding through volume.</w:t>
      </w:r>
      <w:r>
        <w:t xml:space="preserve"> More orders and customers are fuelling growth while order value shrinks. This is healthy only if margins hold, which this data cannot confirm.</w:t>
      </w:r>
    </w:p>
    <w:p>
      <w:pPr>
        <w:pStyle w:val="ListParagraph"/>
        <w:numPr>
          <w:ilvl w:val="0"/>
          <w:numId w:val="5"/>
        </w:numPr>
        <w:spacing w:after="60" w:line="264"/>
      </w:pPr>
      <w:r>
        <w:rPr>
          <w:b/>
          <w:bCs/>
        </w:rPr>
        <w:t xml:space="preserve">Seasonality dominates cash flow.</w:t>
      </w:r>
      <w:r>
        <w:t xml:space="preserve"> Nearly 40% of sales land in Q4, and January and February are the trough. Inventory, staffing and promotions should be planned around this.</w:t>
      </w:r>
    </w:p>
    <w:p>
      <w:pPr>
        <w:pStyle w:val="ListParagraph"/>
        <w:numPr>
          <w:ilvl w:val="0"/>
          <w:numId w:val="5"/>
        </w:numPr>
        <w:spacing w:after="60" w:line="264"/>
      </w:pPr>
      <w:r>
        <w:rPr>
          <w:b/>
          <w:bCs/>
        </w:rPr>
        <w:t xml:space="preserve">Two regions carry the business.</w:t>
      </w:r>
      <w:r>
        <w:t xml:space="preserve"> West and East generate 61% of sales and are growing fastest. South is stagnant and Central is mid-paced.</w:t>
      </w:r>
    </w:p>
    <w:p>
      <w:pPr>
        <w:pStyle w:val="ListParagraph"/>
        <w:numPr>
          <w:ilvl w:val="0"/>
          <w:numId w:val="5"/>
        </w:numPr>
        <w:spacing w:after="60" w:line="264"/>
      </w:pPr>
      <w:r>
        <w:rPr>
          <w:b/>
          <w:bCs/>
        </w:rPr>
        <w:t xml:space="preserve">Geographic concentration is a risk and an opportunity.</w:t>
      </w:r>
      <w:r>
        <w:t xml:space="preserve"> California and New York are a third of sales; many states sell almost nothing.</w:t>
      </w:r>
    </w:p>
    <w:p>
      <w:pPr>
        <w:pStyle w:val="ListParagraph"/>
        <w:numPr>
          <w:ilvl w:val="0"/>
          <w:numId w:val="5"/>
        </w:numPr>
        <w:spacing w:after="60" w:line="264"/>
      </w:pPr>
      <w:r>
        <w:rPr>
          <w:b/>
          <w:bCs/>
        </w:rPr>
        <w:t xml:space="preserve">Corporate and Home Office are the growth segments.</w:t>
      </w:r>
      <w:r>
        <w:t xml:space="preserve"> They grew 85% and 77% versus 25% for Consumer, at equal spend per customer.</w:t>
      </w:r>
    </w:p>
    <w:p>
      <w:pPr>
        <w:pStyle w:val="ListParagraph"/>
        <w:numPr>
          <w:ilvl w:val="0"/>
          <w:numId w:val="5"/>
        </w:numPr>
        <w:spacing w:after="60" w:line="264"/>
      </w:pPr>
      <w:r>
        <w:rPr>
          <w:b/>
          <w:bCs/>
        </w:rPr>
        <w:t xml:space="preserve">Office Supplies builds relationships, Technology builds revenue.</w:t>
      </w:r>
      <w:r>
        <w:t xml:space="preserve"> Office Supplies has the most orders at the lowest value; Technology the highest value per order.</w:t>
      </w:r>
    </w:p>
    <w:p>
      <w:pPr>
        <w:pStyle w:val="ListParagraph"/>
        <w:numPr>
          <w:ilvl w:val="0"/>
          <w:numId w:val="5"/>
        </w:numPr>
        <w:spacing w:after="60" w:line="264"/>
      </w:pPr>
      <w:r>
        <w:rPr>
          <w:b/>
          <w:bCs/>
        </w:rPr>
        <w:t xml:space="preserve">Customer value sits in the middle.</w:t>
      </w:r>
      <w:r>
        <w:t xml:space="preserve"> The Medium and High tiers deliver 84% of sales, so upgrade programmes there have the biggest impact.</w:t>
      </w:r>
    </w:p>
    <w:p>
      <w:pPr>
        <w:pStyle w:val="ListParagraph"/>
        <w:numPr>
          <w:ilvl w:val="0"/>
          <w:numId w:val="5"/>
        </w:numPr>
        <w:spacing w:after="60" w:line="264"/>
      </w:pPr>
      <w:r>
        <w:rPr>
          <w:b/>
          <w:bCs/>
        </w:rPr>
        <w:t xml:space="preserve">Fulfilment is consistent.</w:t>
      </w:r>
      <w:r>
        <w:t xml:space="preserve"> Shipping speed is uniform across regions, and Standard Class is the dominant mode at five days.</w:t>
      </w:r>
    </w:p>
    <w:p>
      <w:pPr>
        <w:pStyle w:val="Heading1"/>
      </w:pPr>
      <w:r>
        <w:t xml:space="preserve">11.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Priority</w:t>
            </w:r>
          </w:p>
        </w:tc>
        <w:tc>
          <w:tcPr>
            <w:tcW w:type="dxa" w:w="450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Recommendation</w:t>
            </w:r>
          </w:p>
        </w:tc>
        <w:tc>
          <w:tcPr>
            <w:tcW w:type="dxa" w:w="3660"/>
            <w:tcBorders>
              <w:top w:val="single" w:color="C9D3DF" w:sz="4"/>
              <w:left w:val="single" w:color="C9D3DF" w:sz="4"/>
              <w:bottom w:val="single" w:color="C9D3DF" w:sz="4"/>
              <w:right w:val="single" w:color="C9D3DF" w:sz="4"/>
            </w:tcBorders>
            <w:shd w:fill="1F3A5F" w:color="auto" w:val="clear"/>
            <w:tcMar>
              <w:top w:type="dxa" w:w="60"/>
              <w:left w:type="dxa" w:w="100"/>
              <w:bottom w:type="dxa" w:w="60"/>
              <w:right w:type="dxa" w:w="100"/>
            </w:tcMar>
          </w:tcPr>
          <w:p>
            <w:pPr>
              <w:jc w:val="left"/>
            </w:pPr>
            <w:r>
              <w:rPr>
                <w:b/>
                <w:bCs/>
                <w:color w:val="FFFFFF"/>
                <w:sz w:val="19"/>
                <w:szCs w:val="19"/>
              </w:rPr>
              <w:t xml:space="preserve">Evidence</w:t>
            </w:r>
          </w:p>
        </w:tc>
      </w:tr>
      <w:tr>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High</w:t>
            </w:r>
          </w:p>
        </w:tc>
        <w:tc>
          <w:tcPr>
            <w:tcW w:type="dxa" w:w="4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Capture profit, quantity and discount data and rebuild the profitability analysis</w:t>
            </w:r>
          </w:p>
        </w:tc>
        <w:tc>
          <w:tcPr>
            <w:tcW w:type="dxa" w:w="36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Dataset has sales only; current profit statements are unsupported</w:t>
            </w:r>
          </w:p>
        </w:tc>
      </w:tr>
      <w:tr>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High</w:t>
            </w:r>
          </w:p>
        </w:tc>
        <w:tc>
          <w:tcPr>
            <w:tcW w:type="dxa" w:w="4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Plan inventory, staffing and campaigns around Sep, Nov and Dec peaks; run promotions to lift Jan and Feb</w:t>
            </w:r>
          </w:p>
        </w:tc>
        <w:tc>
          <w:tcPr>
            <w:tcW w:type="dxa" w:w="36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43% of sales in three months; Feb is the weakest month</w:t>
            </w:r>
          </w:p>
        </w:tc>
      </w:tr>
      <w:tr>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High</w:t>
            </w:r>
          </w:p>
        </w:tc>
        <w:tc>
          <w:tcPr>
            <w:tcW w:type="dxa" w:w="4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Reverse the fall in order value with bundles, cross-sell and minimum-spend offers</w:t>
            </w:r>
          </w:p>
        </w:tc>
        <w:tc>
          <w:tcPr>
            <w:tcW w:type="dxa" w:w="36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AOV down 14% from 2015 to 2018</w:t>
            </w:r>
          </w:p>
        </w:tc>
      </w:tr>
      <w:tr>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Medium</w:t>
            </w:r>
          </w:p>
        </w:tc>
        <w:tc>
          <w:tcPr>
            <w:tcW w:type="dxa" w:w="4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Investigate South’s under-performance (coverage, delivery, local marketing)</w:t>
            </w:r>
          </w:p>
        </w:tc>
        <w:tc>
          <w:tcPr>
            <w:tcW w:type="dxa" w:w="36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17% share; only +18% growth; -32% in 2016</w:t>
            </w:r>
          </w:p>
        </w:tc>
      </w:tr>
      <w:tr>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Medium</w:t>
            </w:r>
          </w:p>
        </w:tc>
        <w:tc>
          <w:tcPr>
            <w:tcW w:type="dxa" w:w="4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Build account programmes for Corporate and Home Office customers</w:t>
            </w:r>
          </w:p>
        </w:tc>
        <w:tc>
          <w:tcPr>
            <w:tcW w:type="dxa" w:w="36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Fastest-growing segments</w:t>
            </w:r>
          </w:p>
        </w:tc>
      </w:tr>
      <w:tr>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Medium</w:t>
            </w:r>
          </w:p>
        </w:tc>
        <w:tc>
          <w:tcPr>
            <w:tcW w:type="dxa" w:w="4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Run an upgrade campaign targeting Medium-tier customers</w:t>
            </w:r>
          </w:p>
        </w:tc>
        <w:tc>
          <w:tcPr>
            <w:tcW w:type="dxa" w:w="36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501 customers, 56% of sales</w:t>
            </w:r>
          </w:p>
        </w:tc>
      </w:tr>
      <w:tr>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Medium</w:t>
            </w:r>
          </w:p>
        </w:tc>
        <w:tc>
          <w:tcPr>
            <w:tcW w:type="dxa" w:w="4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Protect the top 20% of customers with loyalty and account management</w:t>
            </w:r>
          </w:p>
        </w:tc>
        <w:tc>
          <w:tcPr>
            <w:tcW w:type="dxa" w:w="36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right"/>
            </w:pPr>
            <w:r>
              <w:rPr>
                <w:b w:val="false"/>
                <w:bCs w:val="false"/>
                <w:color w:val="222222"/>
                <w:sz w:val="19"/>
                <w:szCs w:val="19"/>
              </w:rPr>
              <w:t xml:space="preserve">48% of sales</w:t>
            </w:r>
          </w:p>
        </w:tc>
      </w:tr>
      <w:tr>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Low</w:t>
            </w:r>
          </w:p>
        </w:tc>
        <w:tc>
          <w:tcPr>
            <w:tcW w:type="dxa" w:w="4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Review tail sub-categories (Fasteners, Labels, Envelopes, Art) for bundling or rationalisation</w:t>
            </w:r>
          </w:p>
        </w:tc>
        <w:tc>
          <w:tcPr>
            <w:tcW w:type="dxa" w:w="36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Together under 3% of sales</w:t>
            </w:r>
          </w:p>
        </w:tc>
      </w:tr>
      <w:tr>
        <w:tc>
          <w:tcPr>
            <w:tcW w:type="dxa" w:w="12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Low</w:t>
            </w:r>
          </w:p>
        </w:tc>
        <w:tc>
          <w:tcPr>
            <w:tcW w:type="dxa" w:w="450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Expand marketing in low-sales states once margin data is available</w:t>
            </w:r>
          </w:p>
        </w:tc>
        <w:tc>
          <w:tcPr>
            <w:tcW w:type="dxa" w:w="3660"/>
            <w:tcBorders>
              <w:top w:val="single" w:color="C9D3DF" w:sz="4"/>
              <w:left w:val="single" w:color="C9D3DF" w:sz="4"/>
              <w:bottom w:val="single" w:color="C9D3DF" w:sz="4"/>
              <w:right w:val="single" w:color="C9D3DF" w:sz="4"/>
            </w:tcBorders>
            <w:tcMar>
              <w:top w:type="dxa" w:w="60"/>
              <w:left w:type="dxa" w:w="100"/>
              <w:bottom w:type="dxa" w:w="60"/>
              <w:right w:type="dxa" w:w="100"/>
            </w:tcMar>
          </w:tcPr>
          <w:p>
            <w:pPr>
              <w:jc w:val="left"/>
            </w:pPr>
            <w:r>
              <w:rPr>
                <w:b w:val="false"/>
                <w:bCs w:val="false"/>
                <w:color w:val="222222"/>
                <w:sz w:val="19"/>
                <w:szCs w:val="19"/>
              </w:rPr>
              <w:t xml:space="preserve">Many states under $2K</w:t>
            </w:r>
          </w:p>
        </w:tc>
      </w:tr>
    </w:tbl>
    <w:p>
      <w:pPr>
        <w:pStyle w:val="Heading1"/>
      </w:pPr>
      <w:r>
        <w:t xml:space="preserve">12. Limitations and Next Steps</w:t>
      </w:r>
    </w:p>
    <w:p>
      <w:pPr>
        <w:spacing w:after="120" w:line="276"/>
      </w:pPr>
      <w:r>
        <w:rPr>
          <w:b/>
          <w:bCs/>
        </w:rPr>
        <w:t xml:space="preserve">Limitations:</w:t>
      </w:r>
      <w:r>
        <w:t xml:space="preserve"> sales is the only financial measure; the period is four years of US orders; there is no marketing, cost or inventory data; averages are distorted by a few very large orders; and the 8 repeated order-product pairs were kept without confirmation.</w:t>
      </w:r>
    </w:p>
    <w:p>
      <w:pPr>
        <w:spacing w:after="120" w:line="276"/>
      </w:pPr>
      <w:r>
        <w:rPr>
          <w:b/>
          <w:bCs/>
        </w:rPr>
        <w:t xml:space="preserve">Next steps</w:t>
      </w:r>
    </w:p>
    <w:p>
      <w:pPr>
        <w:pStyle w:val="ListParagraph"/>
        <w:numPr>
          <w:ilvl w:val="0"/>
          <w:numId w:val="6"/>
        </w:numPr>
        <w:spacing w:after="60" w:line="264"/>
      </w:pPr>
      <w:r>
        <w:t xml:space="preserve">Fix the issues in Section 9 and complete the Business_Insights notebook using this report’s findings.</w:t>
      </w:r>
    </w:p>
    <w:p>
      <w:pPr>
        <w:pStyle w:val="ListParagraph"/>
        <w:numPr>
          <w:ilvl w:val="0"/>
          <w:numId w:val="6"/>
        </w:numPr>
        <w:spacing w:after="60" w:line="264"/>
      </w:pPr>
      <w:r>
        <w:t xml:space="preserve">Add profit, quantity and discount fields and extend the SQL and Power BI model.</w:t>
      </w:r>
    </w:p>
    <w:p>
      <w:pPr>
        <w:pStyle w:val="ListParagraph"/>
        <w:numPr>
          <w:ilvl w:val="0"/>
          <w:numId w:val="6"/>
        </w:numPr>
        <w:spacing w:after="60" w:line="264"/>
      </w:pPr>
      <w:r>
        <w:t xml:space="preserve">Build a simple sales forecast (seasonal naive or Holt-Winters), which the Time_Series notebook lists as optional future work.</w:t>
      </w:r>
    </w:p>
    <w:p>
      <w:pPr>
        <w:pStyle w:val="ListParagraph"/>
        <w:numPr>
          <w:ilvl w:val="0"/>
          <w:numId w:val="6"/>
        </w:numPr>
        <w:spacing w:after="60" w:line="264"/>
      </w:pPr>
      <w:r>
        <w:t xml:space="preserve">Add RFM (recency, frequency, monetary) customer segmentation to refine the value tiers.</w:t>
      </w:r>
    </w:p>
    <w:p>
      <w:pPr>
        <w:pStyle w:val="ListParagraph"/>
        <w:numPr>
          <w:ilvl w:val="0"/>
          <w:numId w:val="6"/>
        </w:numPr>
        <w:spacing w:after="60" w:line="264"/>
      </w:pPr>
      <w:r>
        <w:t xml:space="preserve">Add dashboard screenshots and a README so the project is reproducible and portfolio-ready.</w:t>
      </w:r>
    </w:p>
    <w:p>
      <w:pPr>
        <w:pStyle w:val="Heading1"/>
      </w:pPr>
      <w:r>
        <w:t xml:space="preserve">13. Conclusion</w:t>
      </w:r>
    </w:p>
    <w:p>
      <w:pPr>
        <w:spacing w:after="120" w:line="276"/>
      </w:pPr>
      <w:r>
        <w:t xml:space="preserve">The business grew from $480K to $722K a year between 2015 and 2018, driven by more orders, more customers, and strong gains in the West and East regions and in the Corporate and Home Office segments. Revenue is concentrated in a few states, a few seasonal months and a core group of repeat customers. The biggest gap in the project is profitability: with margin data added, the same framework would show which of these growth areas is actually worth investing in.</w:t>
      </w:r>
    </w:p>
    <w:sectPr>
      <w:footerReference w:type="default" r:id="rId7"/>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Sales &amp; Business Analytics Project Report  |  Page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6"/>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6"/>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240"/>
      <w:outlineLvl w:val="1"/>
    </w:pPr>
    <w:rPr>
      <w:rFonts w:ascii="Calibri" w:cs="Calibri" w:eastAsia="Calibri" w:hAnsi="Calibri"/>
      <w:b/>
      <w:bCs/>
      <w:color w:val="2A9D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163e6599866c47fcd80a09423d46943915d4730.png"/><Relationship Id="rId9" Type="http://schemas.openxmlformats.org/officeDocument/2006/relationships/image" Target="media/f352360b4ed78ab70d19fc543d71d3224a466812.png"/><Relationship Id="rId10" Type="http://schemas.openxmlformats.org/officeDocument/2006/relationships/image" Target="media/31cadb8034d02614c41e799330cb3ef266ede770.png"/><Relationship Id="rId11" Type="http://schemas.openxmlformats.org/officeDocument/2006/relationships/image" Target="media/41ef22de2d77398035d864394cb38a4d8adac343.png"/><Relationship Id="rId12" Type="http://schemas.openxmlformats.org/officeDocument/2006/relationships/image" Target="media/a98811e6eebadde2ecd1262b8b73602b9a77afe5.png"/><Relationship Id="rId13" Type="http://schemas.openxmlformats.org/officeDocument/2006/relationships/image" Target="media/398fa63301b4540fc2877695d51d7ba07538380b.png"/><Relationship Id="rId14" Type="http://schemas.openxmlformats.org/officeDocument/2006/relationships/image" Target="media/eb6c8632e8337bf479556f94c96eb4fb71484b3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2026-10-19T11:51:25.499Z</dcterms:created>
  <dcterms:modified xsi:type="dcterms:W3CDTF">2026-10-19T11:51:25.500Z</dcterms:modified>
</cp:coreProperties>
</file>

<file path=docProps/custom.xml><?xml version="1.0" encoding="utf-8"?>
<Properties xmlns="http://schemas.openxmlformats.org/officeDocument/2006/custom-properties" xmlns:vt="http://schemas.openxmlformats.org/officeDocument/2006/docPropsVTypes"/>
</file>