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9D6" w:rsidRDefault="004919D6" w:rsidP="004919D6">
      <w:pPr>
        <w:pStyle w:val="Ttulo1"/>
        <w:shd w:val="clear" w:color="auto" w:fill="FFFFFF"/>
        <w:spacing w:before="0" w:beforeAutospacing="0" w:after="0" w:afterAutospacing="0" w:line="312" w:lineRule="atLeast"/>
        <w:jc w:val="center"/>
        <w:textAlignment w:val="baseline"/>
        <w:rPr>
          <w:rFonts w:ascii="Helvetica" w:hAnsi="Helvetica" w:cs="Helvetica"/>
          <w:color w:val="222222"/>
          <w:sz w:val="45"/>
          <w:szCs w:val="45"/>
        </w:rPr>
      </w:pPr>
      <w:r>
        <w:rPr>
          <w:rFonts w:ascii="Helvetica" w:hAnsi="Helvetica" w:cs="Helvetica"/>
          <w:color w:val="222222"/>
          <w:sz w:val="45"/>
          <w:szCs w:val="45"/>
        </w:rPr>
        <w:fldChar w:fldCharType="begin"/>
      </w:r>
      <w:r>
        <w:rPr>
          <w:rFonts w:ascii="Helvetica" w:hAnsi="Helvetica" w:cs="Helvetica"/>
          <w:color w:val="222222"/>
          <w:sz w:val="45"/>
          <w:szCs w:val="45"/>
        </w:rPr>
        <w:instrText xml:space="preserve"> HYPERLINK "http://www.bplcontabilidade.com.br/distribuicao-de-lucros-por-empresas-devedoras-de-impostos-impossibilidade/" \o "Link Permanente: Distribuição de lucros por empresas devedoras de impostos – Impossibilidade" </w:instrText>
      </w:r>
      <w:r>
        <w:rPr>
          <w:rFonts w:ascii="Helvetica" w:hAnsi="Helvetica" w:cs="Helvetica"/>
          <w:color w:val="222222"/>
          <w:sz w:val="45"/>
          <w:szCs w:val="45"/>
        </w:rPr>
        <w:fldChar w:fldCharType="separate"/>
      </w:r>
      <w:r>
        <w:rPr>
          <w:rStyle w:val="Hyperlink"/>
          <w:rFonts w:ascii="inherit" w:hAnsi="inherit" w:cs="Helvetica"/>
          <w:sz w:val="45"/>
          <w:szCs w:val="45"/>
          <w:u w:val="none"/>
          <w:bdr w:val="none" w:sz="0" w:space="0" w:color="auto" w:frame="1"/>
        </w:rPr>
        <w:t xml:space="preserve">Distribuição de lucros por empresas devedoras de impostos – Impossibilidade </w:t>
      </w:r>
      <w:r>
        <w:rPr>
          <w:rFonts w:ascii="Helvetica" w:hAnsi="Helvetica" w:cs="Helvetica"/>
          <w:color w:val="222222"/>
          <w:sz w:val="45"/>
          <w:szCs w:val="45"/>
        </w:rPr>
        <w:fldChar w:fldCharType="end"/>
      </w:r>
    </w:p>
    <w:p w:rsidR="004919D6" w:rsidRDefault="004919D6">
      <w:pPr>
        <w:rPr>
          <w:rFonts w:ascii="Helvetica" w:hAnsi="Helvetica" w:cs="Helvetica"/>
          <w:color w:val="333333"/>
          <w:shd w:val="clear" w:color="auto" w:fill="FFFFFF"/>
        </w:rPr>
      </w:pPr>
      <w:bookmarkStart w:id="0" w:name="_GoBack"/>
      <w:bookmarkEnd w:id="0"/>
    </w:p>
    <w:p w:rsidR="00A63FB0" w:rsidRDefault="004919D6">
      <w:r>
        <w:rPr>
          <w:rFonts w:ascii="Helvetica" w:hAnsi="Helvetica" w:cs="Helvetica"/>
          <w:color w:val="333333"/>
          <w:shd w:val="clear" w:color="auto" w:fill="FFFFFF"/>
        </w:rPr>
        <w:t>Dentre as inúmeras alterações na legislação tributária trazidas pela Lei nº. 11.051/2004, o art. 17 acrescentou disposições ao art. 32 da Lei nº 4.357/64, que impõe multa a ser imputada a PJ que a der ou atribuir participação de lucros a seus sócios ou quotistas, bem como a seus diretores e demais membros de órgãos dirigentes (fiscais ou consultivos), quanto possuírem débito, não garantido, perante a União Federal e o INSS. Veja-se a redação do artigo: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"</w:t>
      </w:r>
      <w:proofErr w:type="spellStart"/>
      <w:proofErr w:type="gramEnd"/>
      <w:r>
        <w:rPr>
          <w:rFonts w:ascii="Helvetica" w:hAnsi="Helvetica" w:cs="Helvetica"/>
          <w:color w:val="333333"/>
          <w:shd w:val="clear" w:color="auto" w:fill="FFFFFF"/>
        </w:rPr>
        <w:t>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32. As pessoas jurídicas, enquanto estiverem em débito, não garantido, para com a União e suas autarquias de Previdência e Assistência Social, por falta de recolhimento de imposto, taxa ou contribuição, no prazo legal, não poderão: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a) distribuir quaisquer bonificações a seus acionistas;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b) dar ou atribuir participação de lucros a seus sócios ou quotistas, bem como a seus diretores e demais membros de órgãos dirigentes, fiscais ou consultivos;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§ 1o A inobservância do disposto neste artigo importa em multa que será imposta: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(Redação dada pela Lei nº 11.051, de 2004)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I - às pessoas jurídicas que distribuírem ou pagarem bonificações ou remunerações, em montante igual a 50% (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cinqüenta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por cento) das quantias distribuídas ou pagas indevidamente; e (Redação dada pela Lei nº 11.051, de 2004)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II - aos diretores e demais membros da administração superior que receberem as importâncias indevidas, em montante igual a 50% (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cinqüenta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por cento) dessas importâncias. (Redação dada pela Lei nº 11.051, de 2004)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§ 2o A multa referida nos incisos I e II do § 1o deste artigo fica limitada, respectivamente, a 50% (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cinqüenta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por cento) do valor total do débito não garantido da pessoa jurídica. (Incluído pela Lei nº 11.051, de 2004)"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Essa restrição imposta com mão de gato pelo Fisco deixou o mercado financeiro perplexo e tumultuou o mercado de capitais, pois colide frontalmente com a Lei das Sociedades Anônimas, que obriga as empresas de capital aberto a distribuir 25% de seu lucro líquido aos acionistas.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A multa é de montante igual a 50% (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cinqüenta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por cento) do somatório das importâncias distribuídas, a ser imputada a PJ que a der ou atribuir participação de lucros a seus sócios ou quotistas, cabendo a mesma penalidade aos diretores e demais membros de órgãos dirigentes (fiscais ou consultivos) que receberem as quantias (multa de 50% sobre o valor recebido).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Entretanto, deve-se dizer que para a configuração desta penalidade, não poderá haver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qualquer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dúvida sobre a força executiva do "débito" (necessariamente, liquidez, certeza, e exigibilidade imediata), elemento intrínseco para que seja materializada a hipótese legal contida no art. 32 da Lei nº. 4.357/1964.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Deve, também, ser observado, que o art. 32 da Lei nº. 4.357/1964, não engloba a hipótese de participação dos empregados nos lucros das empresas, que trata a Lei nº. </w:t>
      </w:r>
      <w:r>
        <w:rPr>
          <w:rFonts w:ascii="Helvetica" w:hAnsi="Helvetica" w:cs="Helvetica"/>
          <w:color w:val="333333"/>
          <w:shd w:val="clear" w:color="auto" w:fill="FFFFFF"/>
        </w:rPr>
        <w:lastRenderedPageBreak/>
        <w:t>10.101 de 19 de dezembro de 2000, ficando restritos a diretores e demais membros de órgãos dirigentes (fiscais ou consultivos).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Da forma como está redigido o preceito do art. 17 da Lei nº 11.051/2004 é inconstitucional, pois impõe penalidade em situação em que não há proibição legal; a distribuição de lucros e bonificações é um direito - em certas circunstâncias - é um dever, que nada tem de ilícito. A defesa do crédito tributário, no caso, já é feita pela garantia do débito o que torna a pena ilegítima em face do princípio da proporcionalidade (necessidade).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Em resumo, o legislador não pode eleger como punível uma situação que é regulada pelo direito, posto que um ato não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pode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ser lícito e ilícito ao mesmo tempo.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Há ainda a possibilidade de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argüir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inconstitucionalidade sob o aspecto do confisco tributário, presente no art. 150 da Constituição Federal,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verbis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“Art. 150. Sem prejuízo de outras garantias asseguradas ao contribuinte, é vedado à União, aos Estados, ao Distrito Federal e aos Municípios: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I – (.....)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IV – utilizar tributo com efeito de confisco;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As multas excessivamente onerosas, insuportáveis,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irrazoáveis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 são inadmissíveis, fundadas no princípio da proporcionalidade. O STF em várias oportunidades já reduziu multas denominadas confiscatórias. O descompasso entre o ilícito e a cominação não pode ser gritante, sob pena de invalidade.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Além da questão constitucional antevemos outros problemas de conteúdo de validade destas regras.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O primeiro é o conceito de "débito garantido" que deve ser explicitado pela Lei. A matéria deve ser interpretada em face do disposto do art. 184 do CTN segundo o qual a garantia do crédito tributário é feita pela totalidade dos bens e das rendas do sujeito passivo. Em outras palavras, débito garantido não é sinônimo de "depósito em dinheiro" nem "bens arrolados".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>Um segundo problema que vislumbramos diz respeito à vigência (ou eficácia) do preceito que, se válido fosse, deveria ser aplicado apenas aos débitos formados após o seu advento em virtude da exigência de culpabilidade (a possibilidade de conhecer o que é proibido e agir de modo a evitar o dano que punível) que é inerente a toda norma penal. 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FFFFF"/>
        </w:rPr>
        <w:t xml:space="preserve">Portanto, cabe a propositura de ações judiciais, individuais ou coletivas, para discutir a aplicação do preceito instituído pelo art. 17 da Lei 11.051/2004 sob os aspectos anteriormente assinalados, evitando a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aplicação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ou o afastamento do novo texto legal.</w:t>
      </w:r>
    </w:p>
    <w:sectPr w:rsidR="00A63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9D6"/>
    <w:rsid w:val="004919D6"/>
    <w:rsid w:val="00A6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1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9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919D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1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9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919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869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2018-04-18T13:25:00Z</dcterms:created>
  <dcterms:modified xsi:type="dcterms:W3CDTF">2018-04-18T13:25:00Z</dcterms:modified>
</cp:coreProperties>
</file>