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bookmarkStart w:id="0" w:name="_GoBack"/>
      <w:bookmarkEnd w:id="0"/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br/>
        <w:t xml:space="preserve">ILMO </w:t>
      </w:r>
      <w:proofErr w:type="gramStart"/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SR.</w:t>
      </w:r>
      <w:proofErr w:type="gramEnd"/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 xml:space="preserve"> DELEGADO DA RECEITA FEDERAL DO BRASIL DE </w:t>
      </w:r>
      <w:proofErr w:type="spellStart"/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xxxxxxxxxxxxxxxxxxxxxx</w:t>
      </w:r>
      <w:proofErr w:type="spellEnd"/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Auto de Infração nº XXXXXXXXXXXXXXXXXX (recebido em 10/12/2015)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 xml:space="preserve">XXXXXXXXXXXXXXXXXXXXXXXXXXXXXX, com sede e estabelecimento comercial na Rua XXXXXXXXXXXXXXXXXXXXXXXXXXXXXXXXXXXXXXXXXXXXXXXXXXXXXXX, inscrita no CNPJ nº XXXXXXXXXXXXXX, representado neste ato por seu representante legal, Sr. XXXXXXXXXXXXXXXXXXXXX, não se conformando com o auto de infração acima referido, lavrado pelo </w:t>
      </w:r>
      <w:proofErr w:type="gramStart"/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Sr.</w:t>
      </w:r>
      <w:proofErr w:type="gramEnd"/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 xml:space="preserve"> Auditor-Fiscal da Receita Federal do Brasil, vem, respeitosamente, no prazo legal, com amparo no que dispõe o artigo 15 do Decreto nº 70.235/72, apresentar a presente IMPUGNAÇÃO, pelos motivos de fato e de direito que seguem: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I – DOS FATOS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           A empresa impugnante acima identificada</w:t>
      </w:r>
      <w:proofErr w:type="gramStart"/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, entregou</w:t>
      </w:r>
      <w:proofErr w:type="gramEnd"/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 xml:space="preserve"> espontaneamente em atraso as </w:t>
      </w:r>
      <w:proofErr w:type="spellStart"/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GFIPs</w:t>
      </w:r>
      <w:proofErr w:type="spellEnd"/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 xml:space="preserve"> das competências 02/2010 a 01/11. A Receita Federal do Brasil, no uso de suas atribuições, lavrou o auto de infração nº </w:t>
      </w:r>
      <w:proofErr w:type="spellStart"/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xxxxxxxxxxxxxxxxxxxx</w:t>
      </w:r>
      <w:proofErr w:type="spellEnd"/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 xml:space="preserve">, facultando à autuada a impugnação ou pagamento da multa com desconto no prazo de 30 (trinta) </w:t>
      </w:r>
      <w:proofErr w:type="gramStart"/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dias</w:t>
      </w:r>
      <w:proofErr w:type="gramEnd"/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lastRenderedPageBreak/>
        <w:t>           O auto de infração em comento fere frontalmente o princípio da legalidade inerente ao sistema tributário nacional, conforme se verá adiante.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II – DO DIREITO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b/>
          <w:bCs/>
          <w:color w:val="0E4354"/>
          <w:sz w:val="27"/>
          <w:szCs w:val="27"/>
          <w:lang w:eastAsia="pt-BR"/>
        </w:rPr>
        <w:t>II. 1 – DA INTERPRETAÇÃO SISTEMÁTICA DO ARTIGO 32-A DA LEI 8.212/91.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 xml:space="preserve">            O artigo 32-A da Lei nº 8.212/91 estabelece que o contribuinte </w:t>
      </w:r>
      <w:proofErr w:type="gramStart"/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deve</w:t>
      </w:r>
      <w:proofErr w:type="gramEnd"/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 xml:space="preserve"> ser </w:t>
      </w:r>
      <w:r w:rsidRPr="009218D5">
        <w:rPr>
          <w:rFonts w:ascii="Arial" w:eastAsia="Times New Roman" w:hAnsi="Arial" w:cs="Arial"/>
          <w:b/>
          <w:bCs/>
          <w:color w:val="0E4354"/>
          <w:sz w:val="27"/>
          <w:szCs w:val="27"/>
          <w:lang w:eastAsia="pt-BR"/>
        </w:rPr>
        <w:t>obrigatoriamente ser intimado</w:t>
      </w: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a prestar esclarecimentos ou apresentar a declaração, </w:t>
      </w:r>
      <w:r w:rsidRPr="009218D5">
        <w:rPr>
          <w:rFonts w:ascii="Arial" w:eastAsia="Times New Roman" w:hAnsi="Arial" w:cs="Arial"/>
          <w:i/>
          <w:iCs/>
          <w:color w:val="0E4354"/>
          <w:sz w:val="27"/>
          <w:szCs w:val="27"/>
          <w:lang w:eastAsia="pt-BR"/>
        </w:rPr>
        <w:t xml:space="preserve">in </w:t>
      </w:r>
      <w:proofErr w:type="spellStart"/>
      <w:r w:rsidRPr="009218D5">
        <w:rPr>
          <w:rFonts w:ascii="Arial" w:eastAsia="Times New Roman" w:hAnsi="Arial" w:cs="Arial"/>
          <w:i/>
          <w:iCs/>
          <w:color w:val="0E4354"/>
          <w:sz w:val="27"/>
          <w:szCs w:val="27"/>
          <w:lang w:eastAsia="pt-BR"/>
        </w:rPr>
        <w:t>verbis</w:t>
      </w:r>
      <w:proofErr w:type="spellEnd"/>
      <w:r w:rsidRPr="009218D5">
        <w:rPr>
          <w:rFonts w:ascii="Arial" w:eastAsia="Times New Roman" w:hAnsi="Arial" w:cs="Arial"/>
          <w:i/>
          <w:iCs/>
          <w:color w:val="0E4354"/>
          <w:sz w:val="27"/>
          <w:szCs w:val="27"/>
          <w:lang w:eastAsia="pt-BR"/>
        </w:rPr>
        <w:t>: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Art. 32-A. O contribuinte que deixar de apresentar a declaração de que trata o inciso IV do caput do art. 32 desta Lei no prazo fixado ou que a apresentar com incorreções ou omissões </w:t>
      </w:r>
      <w:r w:rsidRPr="009218D5">
        <w:rPr>
          <w:rFonts w:ascii="Arial" w:eastAsia="Times New Roman" w:hAnsi="Arial" w:cs="Arial"/>
          <w:b/>
          <w:bCs/>
          <w:color w:val="0E4354"/>
          <w:sz w:val="27"/>
          <w:szCs w:val="27"/>
          <w:lang w:eastAsia="pt-BR"/>
        </w:rPr>
        <w:t>será intimado a apresenta-la ou prestar esclarecimentos</w:t>
      </w: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e sujeitar-se-á às seguintes multas: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(...) 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           Ora nobre julgador. Para que se possa ventilar a hipótese de aplicação das multas elencadas no artigo 32-A da Lei 8.212/91, com redação dada pela lei 11.941/2009, necessária se faz a intimação do contribuinte. Não estamos diante de uma opção, mas sim de uma obrigação, definida em lei, que vincula o ato administrativo.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lastRenderedPageBreak/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           É óbvio que a interpretação do </w:t>
      </w:r>
      <w:r w:rsidRPr="009218D5">
        <w:rPr>
          <w:rFonts w:ascii="Arial" w:eastAsia="Times New Roman" w:hAnsi="Arial" w:cs="Arial"/>
          <w:i/>
          <w:iCs/>
          <w:color w:val="0E4354"/>
          <w:sz w:val="27"/>
          <w:szCs w:val="27"/>
          <w:lang w:eastAsia="pt-BR"/>
        </w:rPr>
        <w:t>caput</w:t>
      </w: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do artigo 32-A orienta e vincula toda a aplicação das sanções elencadas em seus parágrafos, incisos e alíneas. Pensar de forma diferente</w:t>
      </w:r>
      <w:proofErr w:type="gramStart"/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, seria</w:t>
      </w:r>
      <w:proofErr w:type="gramEnd"/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 xml:space="preserve"> ferir frontalmente a legalidade, princípio insculpido em nossa carta magna.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           Se a GFIP foi entregue </w:t>
      </w:r>
      <w:r w:rsidRPr="009218D5">
        <w:rPr>
          <w:rFonts w:ascii="Arial" w:eastAsia="Times New Roman" w:hAnsi="Arial" w:cs="Arial"/>
          <w:b/>
          <w:bCs/>
          <w:color w:val="0E4354"/>
          <w:sz w:val="27"/>
          <w:szCs w:val="27"/>
          <w:lang w:eastAsia="pt-BR"/>
        </w:rPr>
        <w:t>espontaneamente</w:t>
      </w: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e o tributo confessado foi pago, a própria obrigação principal está extinta, ressalvada ao sujeito ativo do tributo a apuração de eventual diferença, o que não é o caso, tendo em vista que o fisco reputou corretos os recolhimentos feitos nos exatos termos das informações prestadas.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Como se verifica, a parte impugnante apresentou a declaração fora do prazo, mas </w:t>
      </w:r>
      <w:r w:rsidRPr="009218D5">
        <w:rPr>
          <w:rFonts w:ascii="Arial" w:eastAsia="Times New Roman" w:hAnsi="Arial" w:cs="Arial"/>
          <w:b/>
          <w:bCs/>
          <w:color w:val="0E4354"/>
          <w:sz w:val="27"/>
          <w:szCs w:val="27"/>
          <w:lang w:eastAsia="pt-BR"/>
        </w:rPr>
        <w:t>inexistiu intimação por parte do fisco</w:t>
      </w: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, não havendo o que se falar nas penalidades dos parágrafos, incisos e alíneas do artigo 32-A da Lei 8.212/91. 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           Em resumo, temos que a hipótese de incidência para a aplicação do auto de infração em comento é a entrega da GFIP fora do prazo </w:t>
      </w:r>
      <w:r w:rsidRPr="009218D5">
        <w:rPr>
          <w:rFonts w:ascii="Arial" w:eastAsia="Times New Roman" w:hAnsi="Arial" w:cs="Arial"/>
          <w:b/>
          <w:bCs/>
          <w:color w:val="0E4354"/>
          <w:sz w:val="27"/>
          <w:szCs w:val="27"/>
          <w:lang w:eastAsia="pt-BR"/>
        </w:rPr>
        <w:t>precedida de uma intimação obrigatória por parte do fisco.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Na Visão de Alfredo Augusto Becker</w:t>
      </w:r>
      <w:hyperlink r:id="rId5" w:anchor="_ftn1" w:history="1">
        <w:r w:rsidRPr="009218D5">
          <w:rPr>
            <w:rFonts w:ascii="Arial" w:eastAsia="Times New Roman" w:hAnsi="Arial" w:cs="Arial"/>
            <w:color w:val="256C89"/>
            <w:sz w:val="27"/>
            <w:szCs w:val="27"/>
            <w:u w:val="single"/>
            <w:lang w:eastAsia="pt-BR"/>
          </w:rPr>
          <w:t>[1]</w:t>
        </w:r>
      </w:hyperlink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: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proofErr w:type="gramStart"/>
      <w:r w:rsidRPr="009218D5">
        <w:rPr>
          <w:rFonts w:ascii="Arial" w:eastAsia="Times New Roman" w:hAnsi="Arial" w:cs="Arial"/>
          <w:i/>
          <w:iCs/>
          <w:color w:val="0E4354"/>
          <w:sz w:val="27"/>
          <w:szCs w:val="27"/>
          <w:lang w:eastAsia="pt-BR"/>
        </w:rPr>
        <w:t>“Quando a hipótese de incidência se realiza (acontece, deixa de ser hipótese), então imediatamente após, sobre ela (sobre a hipótese realizada) </w:t>
      </w: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incide </w:t>
      </w:r>
      <w:r w:rsidRPr="009218D5">
        <w:rPr>
          <w:rFonts w:ascii="Arial" w:eastAsia="Times New Roman" w:hAnsi="Arial" w:cs="Arial"/>
          <w:i/>
          <w:iCs/>
          <w:color w:val="0E4354"/>
          <w:sz w:val="27"/>
          <w:szCs w:val="27"/>
          <w:lang w:eastAsia="pt-BR"/>
        </w:rPr>
        <w:t>a regra jurídica.</w:t>
      </w:r>
      <w:proofErr w:type="gramEnd"/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i/>
          <w:iCs/>
          <w:color w:val="0E4354"/>
          <w:sz w:val="27"/>
          <w:szCs w:val="27"/>
          <w:lang w:eastAsia="pt-BR"/>
        </w:rPr>
        <w:lastRenderedPageBreak/>
        <w:t>Entretanto, a hipótese de incidência somente se realiza quando se realizaram (aconteceram e, pois, existem) </w:t>
      </w: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todos </w:t>
      </w:r>
      <w:r w:rsidRPr="009218D5">
        <w:rPr>
          <w:rFonts w:ascii="Arial" w:eastAsia="Times New Roman" w:hAnsi="Arial" w:cs="Arial"/>
          <w:i/>
          <w:iCs/>
          <w:color w:val="0E4354"/>
          <w:sz w:val="27"/>
          <w:szCs w:val="27"/>
          <w:lang w:eastAsia="pt-BR"/>
        </w:rPr>
        <w:t xml:space="preserve">os elementos que a compõem. Basta faltar um único elemento para que a hipótese de incidência continue não realizada; e enquanto não se realizar este último elemento, não ocorrerá </w:t>
      </w:r>
      <w:proofErr w:type="gramStart"/>
      <w:r w:rsidRPr="009218D5">
        <w:rPr>
          <w:rFonts w:ascii="Arial" w:eastAsia="Times New Roman" w:hAnsi="Arial" w:cs="Arial"/>
          <w:i/>
          <w:iCs/>
          <w:color w:val="0E4354"/>
          <w:sz w:val="27"/>
          <w:szCs w:val="27"/>
          <w:lang w:eastAsia="pt-BR"/>
        </w:rPr>
        <w:t>a</w:t>
      </w:r>
      <w:proofErr w:type="gramEnd"/>
      <w:r w:rsidRPr="009218D5">
        <w:rPr>
          <w:rFonts w:ascii="Arial" w:eastAsia="Times New Roman" w:hAnsi="Arial" w:cs="Arial"/>
          <w:i/>
          <w:iCs/>
          <w:color w:val="0E4354"/>
          <w:sz w:val="27"/>
          <w:szCs w:val="27"/>
          <w:lang w:eastAsia="pt-BR"/>
        </w:rPr>
        <w:t xml:space="preserve"> incidência da regra jurídica.” (grifamos)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E prossegue o festejado tributarista, dizendo que: 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i/>
          <w:iCs/>
          <w:color w:val="0E4354"/>
          <w:sz w:val="27"/>
          <w:szCs w:val="27"/>
          <w:lang w:eastAsia="pt-BR"/>
        </w:rPr>
        <w:t>“O fenômeno da atuação dinâmica da regra jurídica, isto é, a </w:t>
      </w: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incidência automática</w:t>
      </w:r>
      <w:r w:rsidRPr="009218D5">
        <w:rPr>
          <w:rFonts w:ascii="Arial" w:eastAsia="Times New Roman" w:hAnsi="Arial" w:cs="Arial"/>
          <w:i/>
          <w:iCs/>
          <w:color w:val="0E4354"/>
          <w:sz w:val="27"/>
          <w:szCs w:val="27"/>
          <w:lang w:eastAsia="pt-BR"/>
        </w:rPr>
        <w:t> da regra jurídica sobre a sua hipótese de incidência, somente, desencadeia-se </w:t>
      </w: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depois </w:t>
      </w:r>
      <w:r w:rsidRPr="009218D5">
        <w:rPr>
          <w:rFonts w:ascii="Arial" w:eastAsia="Times New Roman" w:hAnsi="Arial" w:cs="Arial"/>
          <w:i/>
          <w:iCs/>
          <w:color w:val="0E4354"/>
          <w:sz w:val="27"/>
          <w:szCs w:val="27"/>
          <w:lang w:eastAsia="pt-BR"/>
        </w:rPr>
        <w:t>da realização integral da hipótese de incidência pelo acontecimento de </w:t>
      </w: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todos</w:t>
      </w:r>
      <w:r w:rsidRPr="009218D5">
        <w:rPr>
          <w:rFonts w:ascii="Arial" w:eastAsia="Times New Roman" w:hAnsi="Arial" w:cs="Arial"/>
          <w:i/>
          <w:iCs/>
          <w:color w:val="0E4354"/>
          <w:sz w:val="27"/>
          <w:szCs w:val="27"/>
          <w:lang w:eastAsia="pt-BR"/>
        </w:rPr>
        <w:t> os fatos nela previsto e que formam a composição específica àquela hipótese de incidência. </w:t>
      </w: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Depois </w:t>
      </w:r>
      <w:r w:rsidRPr="009218D5">
        <w:rPr>
          <w:rFonts w:ascii="Arial" w:eastAsia="Times New Roman" w:hAnsi="Arial" w:cs="Arial"/>
          <w:i/>
          <w:iCs/>
          <w:color w:val="0E4354"/>
          <w:sz w:val="27"/>
          <w:szCs w:val="27"/>
          <w:lang w:eastAsia="pt-BR"/>
        </w:rPr>
        <w:t xml:space="preserve">da incidência da regra jurídica é que ocorre a irradiação dos efeitos jurídicos, os quais consistem nas </w:t>
      </w:r>
      <w:proofErr w:type="spellStart"/>
      <w:r w:rsidRPr="009218D5">
        <w:rPr>
          <w:rFonts w:ascii="Arial" w:eastAsia="Times New Roman" w:hAnsi="Arial" w:cs="Arial"/>
          <w:i/>
          <w:iCs/>
          <w:color w:val="0E4354"/>
          <w:sz w:val="27"/>
          <w:szCs w:val="27"/>
          <w:lang w:eastAsia="pt-BR"/>
        </w:rPr>
        <w:t>conseqüências</w:t>
      </w:r>
      <w:proofErr w:type="spellEnd"/>
      <w:r w:rsidRPr="009218D5">
        <w:rPr>
          <w:rFonts w:ascii="Arial" w:eastAsia="Times New Roman" w:hAnsi="Arial" w:cs="Arial"/>
          <w:i/>
          <w:iCs/>
          <w:color w:val="0E4354"/>
          <w:sz w:val="27"/>
          <w:szCs w:val="27"/>
          <w:lang w:eastAsia="pt-BR"/>
        </w:rPr>
        <w:t xml:space="preserve"> (ex.: relação jurídica e seu conteúdo de direito e dever, etc.) pré-determinadas pela regra que, juntamente com a hipótese de incidência, compõe a estrutura lógica da regra jurídica.”</w:t>
      </w:r>
      <w:hyperlink r:id="rId6" w:anchor="_ftn2" w:history="1">
        <w:r w:rsidRPr="009218D5">
          <w:rPr>
            <w:rFonts w:ascii="Arial" w:eastAsia="Times New Roman" w:hAnsi="Arial" w:cs="Arial"/>
            <w:b/>
            <w:bCs/>
            <w:i/>
            <w:iCs/>
            <w:color w:val="256C89"/>
            <w:sz w:val="27"/>
            <w:szCs w:val="27"/>
            <w:u w:val="single"/>
            <w:lang w:eastAsia="pt-BR"/>
          </w:rPr>
          <w:t>[2]</w:t>
        </w:r>
      </w:hyperlink>
      <w:r w:rsidRPr="009218D5">
        <w:rPr>
          <w:rFonts w:ascii="Arial" w:eastAsia="Times New Roman" w:hAnsi="Arial" w:cs="Arial"/>
          <w:i/>
          <w:iCs/>
          <w:color w:val="0E4354"/>
          <w:sz w:val="27"/>
          <w:szCs w:val="27"/>
          <w:lang w:eastAsia="pt-BR"/>
        </w:rPr>
        <w:t> (grifamos</w:t>
      </w:r>
      <w:proofErr w:type="gramStart"/>
      <w:r w:rsidRPr="009218D5">
        <w:rPr>
          <w:rFonts w:ascii="Arial" w:eastAsia="Times New Roman" w:hAnsi="Arial" w:cs="Arial"/>
          <w:i/>
          <w:iCs/>
          <w:color w:val="0E4354"/>
          <w:sz w:val="27"/>
          <w:szCs w:val="27"/>
          <w:lang w:eastAsia="pt-BR"/>
        </w:rPr>
        <w:t>)</w:t>
      </w:r>
      <w:proofErr w:type="gramEnd"/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           Desta forma, resta cristalino que a hipótese de incidência não se materializou, pois, </w:t>
      </w:r>
      <w:r w:rsidRPr="009218D5">
        <w:rPr>
          <w:rFonts w:ascii="Arial" w:eastAsia="Times New Roman" w:hAnsi="Arial" w:cs="Arial"/>
          <w:b/>
          <w:bCs/>
          <w:color w:val="0E4354"/>
          <w:sz w:val="27"/>
          <w:szCs w:val="27"/>
          <w:lang w:eastAsia="pt-BR"/>
        </w:rPr>
        <w:t>INEXISTIU A INTIMAÇÃO NECESSÁRIA POR PARTE DO FISCO.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           Sobre o tema, o Tribunal Regional da 1ª Região assim se manifestou quanto à necessidade da intimação prévia do contribuinte: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i/>
          <w:iCs/>
          <w:color w:val="0E4354"/>
          <w:sz w:val="27"/>
          <w:szCs w:val="27"/>
          <w:lang w:eastAsia="pt-BR"/>
        </w:rPr>
        <w:t>EMENTA. TRIBUTÁRIO. IRREGULARIDADE NA </w:t>
      </w:r>
      <w:r w:rsidRPr="009218D5">
        <w:rPr>
          <w:rFonts w:ascii="Arial" w:eastAsia="Times New Roman" w:hAnsi="Arial" w:cs="Arial"/>
          <w:b/>
          <w:bCs/>
          <w:i/>
          <w:iCs/>
          <w:color w:val="0E4354"/>
          <w:sz w:val="27"/>
          <w:szCs w:val="27"/>
          <w:lang w:eastAsia="pt-BR"/>
        </w:rPr>
        <w:t>APRESENTAÇÃO DA GFIP. MULTA.</w:t>
      </w:r>
      <w:r w:rsidRPr="009218D5">
        <w:rPr>
          <w:rFonts w:ascii="Arial" w:eastAsia="Times New Roman" w:hAnsi="Arial" w:cs="Arial"/>
          <w:i/>
          <w:iCs/>
          <w:color w:val="0E4354"/>
          <w:sz w:val="27"/>
          <w:szCs w:val="27"/>
          <w:lang w:eastAsia="pt-BR"/>
        </w:rPr>
        <w:t> </w:t>
      </w:r>
      <w:r w:rsidRPr="009218D5">
        <w:rPr>
          <w:rFonts w:ascii="Arial" w:eastAsia="Times New Roman" w:hAnsi="Arial" w:cs="Arial"/>
          <w:b/>
          <w:bCs/>
          <w:i/>
          <w:iCs/>
          <w:color w:val="0E4354"/>
          <w:sz w:val="27"/>
          <w:szCs w:val="27"/>
          <w:lang w:eastAsia="pt-BR"/>
        </w:rPr>
        <w:t>NECESSIDADE DE INTIMAÇÃO PRÉVIA DO CONTRIBUINTE.</w:t>
      </w:r>
      <w:r w:rsidRPr="009218D5">
        <w:rPr>
          <w:rFonts w:ascii="Arial" w:eastAsia="Times New Roman" w:hAnsi="Arial" w:cs="Arial"/>
          <w:i/>
          <w:iCs/>
          <w:color w:val="0E4354"/>
          <w:sz w:val="27"/>
          <w:szCs w:val="27"/>
          <w:lang w:eastAsia="pt-BR"/>
        </w:rPr>
        <w:t> APLICAÇÃO DA LEGISLAÇÃO POSTERIOR MAIS BENÉFICA, COM FULCRO NO ARTIGO 106, DO CTN.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lastRenderedPageBreak/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i/>
          <w:iCs/>
          <w:color w:val="0E4354"/>
          <w:sz w:val="27"/>
          <w:szCs w:val="27"/>
          <w:lang w:eastAsia="pt-BR"/>
        </w:rPr>
        <w:t>A não entrega da Guia de Recolhimento do Fundo de Garantia por Tempo de Serviço e Informações à Previdência Social – GFIP, a sua entrega em atraso, com incorreções ou omissões constitui violação à obrigação acessória prevista no artigo 32, inciso IV, da Lei 8.212/91 e sujeita o infrator à multa prevista na legislação previdenciária.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i/>
          <w:iCs/>
          <w:color w:val="0E4354"/>
          <w:sz w:val="27"/>
          <w:szCs w:val="27"/>
          <w:lang w:eastAsia="pt-BR"/>
        </w:rPr>
        <w:t>Antes da publicação da Lei nº 11.941/09, a multa pela (i) não declaração em GFIP de fatos geradores da contribuição previdenciária; (</w:t>
      </w:r>
      <w:proofErr w:type="spellStart"/>
      <w:proofErr w:type="gramStart"/>
      <w:r w:rsidRPr="009218D5">
        <w:rPr>
          <w:rFonts w:ascii="Arial" w:eastAsia="Times New Roman" w:hAnsi="Arial" w:cs="Arial"/>
          <w:i/>
          <w:iCs/>
          <w:color w:val="0E4354"/>
          <w:sz w:val="27"/>
          <w:szCs w:val="27"/>
          <w:lang w:eastAsia="pt-BR"/>
        </w:rPr>
        <w:t>ii</w:t>
      </w:r>
      <w:proofErr w:type="spellEnd"/>
      <w:proofErr w:type="gramEnd"/>
      <w:r w:rsidRPr="009218D5">
        <w:rPr>
          <w:rFonts w:ascii="Arial" w:eastAsia="Times New Roman" w:hAnsi="Arial" w:cs="Arial"/>
          <w:i/>
          <w:iCs/>
          <w:color w:val="0E4354"/>
          <w:sz w:val="27"/>
          <w:szCs w:val="27"/>
          <w:lang w:eastAsia="pt-BR"/>
        </w:rPr>
        <w:t>) não apresentação de GFIP; e (</w:t>
      </w:r>
      <w:proofErr w:type="spellStart"/>
      <w:r w:rsidRPr="009218D5">
        <w:rPr>
          <w:rFonts w:ascii="Arial" w:eastAsia="Times New Roman" w:hAnsi="Arial" w:cs="Arial"/>
          <w:i/>
          <w:iCs/>
          <w:color w:val="0E4354"/>
          <w:sz w:val="27"/>
          <w:szCs w:val="27"/>
          <w:lang w:eastAsia="pt-BR"/>
        </w:rPr>
        <w:t>iii</w:t>
      </w:r>
      <w:proofErr w:type="spellEnd"/>
      <w:r w:rsidRPr="009218D5">
        <w:rPr>
          <w:rFonts w:ascii="Arial" w:eastAsia="Times New Roman" w:hAnsi="Arial" w:cs="Arial"/>
          <w:i/>
          <w:iCs/>
          <w:color w:val="0E4354"/>
          <w:sz w:val="27"/>
          <w:szCs w:val="27"/>
          <w:lang w:eastAsia="pt-BR"/>
        </w:rPr>
        <w:t>) pelo preenchimento incorreto da GFIP estava prevista no artigo 32, § 5º, da Lei 8.212/91.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b/>
          <w:bCs/>
          <w:i/>
          <w:iCs/>
          <w:color w:val="0E4354"/>
          <w:sz w:val="27"/>
          <w:szCs w:val="27"/>
          <w:lang w:eastAsia="pt-BR"/>
        </w:rPr>
        <w:t>Com a publicação da Lei 11.941/09, entrementes, o mencionado artigo foi revogado e a multa do artigo 32, § 5º, da Lei 8.212/91 restou substituída por aquela prevista no artigo 32-A da Lei 8.212/91, que determina, expressamente, a necessidade de intimação do contribuinte previamente à imposição da penalidade, além de sua redução</w:t>
      </w:r>
      <w:r w:rsidRPr="009218D5">
        <w:rPr>
          <w:rFonts w:ascii="Arial" w:eastAsia="Times New Roman" w:hAnsi="Arial" w:cs="Arial"/>
          <w:i/>
          <w:iCs/>
          <w:color w:val="0E4354"/>
          <w:sz w:val="27"/>
          <w:szCs w:val="27"/>
          <w:lang w:eastAsia="pt-BR"/>
        </w:rPr>
        <w:t xml:space="preserve">. </w:t>
      </w:r>
      <w:proofErr w:type="gramStart"/>
      <w:r w:rsidRPr="009218D5">
        <w:rPr>
          <w:rFonts w:ascii="Arial" w:eastAsia="Times New Roman" w:hAnsi="Arial" w:cs="Arial"/>
          <w:i/>
          <w:iCs/>
          <w:color w:val="0E4354"/>
          <w:sz w:val="27"/>
          <w:szCs w:val="27"/>
          <w:lang w:eastAsia="pt-BR"/>
        </w:rPr>
        <w:t>Apelação provida.</w:t>
      </w: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”</w:t>
      </w:r>
      <w:proofErr w:type="gramEnd"/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 xml:space="preserve"> ( TRF/1ª, 5ª Turma Suplementar. Apelação Cível nº 2001.38.03.003902-9, Relator Desembargador Wilson Alves de Souza, Julgamento: 12/06/2012, e –DJF1 de 27/06/2012). (grifos acrescidos).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proofErr w:type="gramStart"/>
      <w:r w:rsidRPr="009218D5">
        <w:rPr>
          <w:rFonts w:ascii="Arial" w:eastAsia="Times New Roman" w:hAnsi="Arial" w:cs="Arial"/>
          <w:b/>
          <w:bCs/>
          <w:color w:val="0E4354"/>
          <w:sz w:val="27"/>
          <w:szCs w:val="27"/>
          <w:lang w:eastAsia="pt-BR"/>
        </w:rPr>
        <w:t>II.</w:t>
      </w:r>
      <w:proofErr w:type="gramEnd"/>
      <w:r w:rsidRPr="009218D5">
        <w:rPr>
          <w:rFonts w:ascii="Arial" w:eastAsia="Times New Roman" w:hAnsi="Arial" w:cs="Arial"/>
          <w:b/>
          <w:bCs/>
          <w:color w:val="0E4354"/>
          <w:sz w:val="27"/>
          <w:szCs w:val="27"/>
          <w:lang w:eastAsia="pt-BR"/>
        </w:rPr>
        <w:t>2 – DA APRESENTAÇÃO ESPONTÂNEA DA DECLARAÇÃO – DA DENÚNCIA ESPONTÂNEA REALIZADA.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          Ao analisarmos o artigo 138 do Código Tributário Nacional, e as próprias disposições expressas emitidas pelo agente fiscalizador, em especial o manual da GFIP/SEFIP, para os usuários do SEFIP 8.4, verificamos que a entrega espontânea da declaração, antes da intimação, se encaixa perfeitamente no conceito de denúncia espontânea, senão vejamos.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lastRenderedPageBreak/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b/>
          <w:bCs/>
          <w:color w:val="0E4354"/>
          <w:sz w:val="27"/>
          <w:szCs w:val="27"/>
          <w:lang w:eastAsia="pt-BR"/>
        </w:rPr>
        <w:t>Art. 138 – A responsabilidade é excluída pela denúncia espontânea da infração, acompanhada, se for o caso, do pagamento do tributo devido e dos juros de mora ou do depósito da importância arbitrada pela autoridade administrativa, quando o montante do tributo dependa de apuração.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            A Instrução normativa 971/2009 em seu artigo 472</w:t>
      </w:r>
      <w:proofErr w:type="gramStart"/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, preceitua</w:t>
      </w:r>
      <w:proofErr w:type="gramEnd"/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 xml:space="preserve"> que: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b/>
          <w:bCs/>
          <w:color w:val="0E4354"/>
          <w:sz w:val="27"/>
          <w:szCs w:val="27"/>
          <w:lang w:eastAsia="pt-BR"/>
        </w:rPr>
        <w:t xml:space="preserve">Art. 472 - Caso haja denúncia espontânea da infração, não cabe </w:t>
      </w:r>
      <w:proofErr w:type="gramStart"/>
      <w:r w:rsidRPr="009218D5">
        <w:rPr>
          <w:rFonts w:ascii="Arial" w:eastAsia="Times New Roman" w:hAnsi="Arial" w:cs="Arial"/>
          <w:b/>
          <w:bCs/>
          <w:color w:val="0E4354"/>
          <w:sz w:val="27"/>
          <w:szCs w:val="27"/>
          <w:lang w:eastAsia="pt-BR"/>
        </w:rPr>
        <w:t>a</w:t>
      </w:r>
      <w:proofErr w:type="gramEnd"/>
      <w:r w:rsidRPr="009218D5">
        <w:rPr>
          <w:rFonts w:ascii="Arial" w:eastAsia="Times New Roman" w:hAnsi="Arial" w:cs="Arial"/>
          <w:b/>
          <w:bCs/>
          <w:color w:val="0E4354"/>
          <w:sz w:val="27"/>
          <w:szCs w:val="27"/>
          <w:lang w:eastAsia="pt-BR"/>
        </w:rPr>
        <w:t xml:space="preserve"> lavratura de auto de infração para aplicação de penalidade pelo descumprimento de obrigação acessória.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b/>
          <w:bCs/>
          <w:color w:val="0E4354"/>
          <w:sz w:val="27"/>
          <w:szCs w:val="27"/>
          <w:lang w:eastAsia="pt-BR"/>
        </w:rPr>
        <w:t xml:space="preserve">§ único – Considera-se denuncia espontânea o procedimento adotado pelo infrator que regularize a situação que tenha configurado a infração, antes do início de qualquer ação fiscal relacionada </w:t>
      </w:r>
      <w:proofErr w:type="gramStart"/>
      <w:r w:rsidRPr="009218D5">
        <w:rPr>
          <w:rFonts w:ascii="Arial" w:eastAsia="Times New Roman" w:hAnsi="Arial" w:cs="Arial"/>
          <w:b/>
          <w:bCs/>
          <w:color w:val="0E4354"/>
          <w:sz w:val="27"/>
          <w:szCs w:val="27"/>
          <w:lang w:eastAsia="pt-BR"/>
        </w:rPr>
        <w:t>a</w:t>
      </w:r>
      <w:proofErr w:type="gramEnd"/>
      <w:r w:rsidRPr="009218D5">
        <w:rPr>
          <w:rFonts w:ascii="Arial" w:eastAsia="Times New Roman" w:hAnsi="Arial" w:cs="Arial"/>
          <w:b/>
          <w:bCs/>
          <w:color w:val="0E4354"/>
          <w:sz w:val="27"/>
          <w:szCs w:val="27"/>
          <w:lang w:eastAsia="pt-BR"/>
        </w:rPr>
        <w:t xml:space="preserve"> infração, dispensada a comunicação da correção da falta à RFB</w:t>
      </w: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.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           No site da própria Receita Federal do Brasil, foi disponibilizado o manual da GFIP/SEFIP, para os usuários do SEFIP 8.4 (Fonte: </w:t>
      </w:r>
      <w:hyperlink r:id="rId7" w:history="1">
        <w:r w:rsidRPr="009218D5">
          <w:rPr>
            <w:rFonts w:ascii="Arial" w:eastAsia="Times New Roman" w:hAnsi="Arial" w:cs="Arial"/>
            <w:color w:val="256C89"/>
            <w:sz w:val="27"/>
            <w:szCs w:val="27"/>
            <w:u w:val="single"/>
            <w:lang w:eastAsia="pt-BR"/>
          </w:rPr>
          <w:t>http://www.receita.fazenda.gov.br/previdencia/gfip/gfip3manform.htm</w:t>
        </w:r>
      </w:hyperlink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), o qual descreve as penalidades no item 12, </w:t>
      </w:r>
      <w:r w:rsidRPr="009218D5">
        <w:rPr>
          <w:rFonts w:ascii="Arial" w:eastAsia="Times New Roman" w:hAnsi="Arial" w:cs="Arial"/>
          <w:i/>
          <w:iCs/>
          <w:color w:val="0E4354"/>
          <w:sz w:val="27"/>
          <w:szCs w:val="27"/>
          <w:lang w:eastAsia="pt-BR"/>
        </w:rPr>
        <w:t xml:space="preserve">in </w:t>
      </w:r>
      <w:proofErr w:type="spellStart"/>
      <w:r w:rsidRPr="009218D5">
        <w:rPr>
          <w:rFonts w:ascii="Arial" w:eastAsia="Times New Roman" w:hAnsi="Arial" w:cs="Arial"/>
          <w:i/>
          <w:iCs/>
          <w:color w:val="0E4354"/>
          <w:sz w:val="27"/>
          <w:szCs w:val="27"/>
          <w:lang w:eastAsia="pt-BR"/>
        </w:rPr>
        <w:t>verbis</w:t>
      </w:r>
      <w:proofErr w:type="spellEnd"/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: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tbl>
      <w:tblPr>
        <w:tblW w:w="0" w:type="auto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534"/>
      </w:tblGrid>
      <w:tr w:rsidR="009218D5" w:rsidRPr="009218D5" w:rsidTr="009218D5">
        <w:trPr>
          <w:tblCellSpacing w:w="0" w:type="dxa"/>
        </w:trPr>
        <w:tc>
          <w:tcPr>
            <w:tcW w:w="8640" w:type="dxa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shd w:val="clear" w:color="auto" w:fill="FFFFFF"/>
            <w:hideMark/>
          </w:tcPr>
          <w:p w:rsidR="009218D5" w:rsidRPr="009218D5" w:rsidRDefault="009218D5" w:rsidP="009218D5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E4354"/>
                <w:sz w:val="18"/>
                <w:szCs w:val="18"/>
                <w:lang w:eastAsia="pt-BR"/>
              </w:rPr>
            </w:pPr>
          </w:p>
          <w:p w:rsidR="009218D5" w:rsidRPr="009218D5" w:rsidRDefault="009218D5" w:rsidP="009218D5">
            <w:pPr>
              <w:spacing w:before="100" w:beforeAutospacing="1" w:after="100" w:afterAutospacing="1" w:line="240" w:lineRule="auto"/>
              <w:jc w:val="both"/>
              <w:rPr>
                <w:rFonts w:ascii="Arial" w:eastAsia="Times New Roman" w:hAnsi="Arial" w:cs="Arial"/>
                <w:color w:val="0E4354"/>
                <w:sz w:val="18"/>
                <w:szCs w:val="18"/>
                <w:lang w:eastAsia="pt-BR"/>
              </w:rPr>
            </w:pPr>
            <w:r w:rsidRPr="009218D5">
              <w:rPr>
                <w:rFonts w:ascii="Arial" w:eastAsia="Times New Roman" w:hAnsi="Arial" w:cs="Arial"/>
                <w:color w:val="0E4354"/>
                <w:sz w:val="27"/>
                <w:szCs w:val="27"/>
                <w:lang w:eastAsia="pt-BR"/>
              </w:rPr>
              <w:t>12 – PENALIDADES</w:t>
            </w:r>
          </w:p>
          <w:p w:rsidR="009218D5" w:rsidRPr="009218D5" w:rsidRDefault="009218D5" w:rsidP="009218D5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E4354"/>
                <w:sz w:val="18"/>
                <w:szCs w:val="18"/>
                <w:lang w:eastAsia="pt-BR"/>
              </w:rPr>
            </w:pPr>
          </w:p>
          <w:p w:rsidR="009218D5" w:rsidRPr="009218D5" w:rsidRDefault="009218D5" w:rsidP="009218D5">
            <w:pPr>
              <w:spacing w:before="100" w:beforeAutospacing="1" w:after="100" w:afterAutospacing="1" w:line="240" w:lineRule="auto"/>
              <w:jc w:val="both"/>
              <w:rPr>
                <w:rFonts w:ascii="Arial" w:eastAsia="Times New Roman" w:hAnsi="Arial" w:cs="Arial"/>
                <w:color w:val="0E4354"/>
                <w:sz w:val="18"/>
                <w:szCs w:val="18"/>
                <w:lang w:eastAsia="pt-BR"/>
              </w:rPr>
            </w:pPr>
            <w:r w:rsidRPr="009218D5">
              <w:rPr>
                <w:rFonts w:ascii="Arial" w:eastAsia="Times New Roman" w:hAnsi="Arial" w:cs="Arial"/>
                <w:color w:val="0E4354"/>
                <w:sz w:val="27"/>
                <w:szCs w:val="27"/>
                <w:lang w:eastAsia="pt-BR"/>
              </w:rPr>
              <w:t>Estão sujeitas as penalidades as seguintes situações:</w:t>
            </w:r>
          </w:p>
          <w:p w:rsidR="009218D5" w:rsidRPr="009218D5" w:rsidRDefault="009218D5" w:rsidP="009218D5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E4354"/>
                <w:sz w:val="18"/>
                <w:szCs w:val="18"/>
                <w:lang w:eastAsia="pt-BR"/>
              </w:rPr>
            </w:pPr>
          </w:p>
          <w:p w:rsidR="009218D5" w:rsidRPr="009218D5" w:rsidRDefault="009218D5" w:rsidP="009218D5">
            <w:pPr>
              <w:spacing w:before="100" w:beforeAutospacing="1" w:after="100" w:afterAutospacing="1" w:line="240" w:lineRule="auto"/>
              <w:jc w:val="both"/>
              <w:rPr>
                <w:rFonts w:ascii="Arial" w:eastAsia="Times New Roman" w:hAnsi="Arial" w:cs="Arial"/>
                <w:color w:val="0E4354"/>
                <w:sz w:val="18"/>
                <w:szCs w:val="18"/>
                <w:lang w:eastAsia="pt-BR"/>
              </w:rPr>
            </w:pPr>
            <w:r w:rsidRPr="009218D5">
              <w:rPr>
                <w:rFonts w:ascii="Arial" w:eastAsia="Times New Roman" w:hAnsi="Arial" w:cs="Arial"/>
                <w:color w:val="0E4354"/>
                <w:sz w:val="27"/>
                <w:szCs w:val="27"/>
                <w:lang w:eastAsia="pt-BR"/>
              </w:rPr>
              <w:t>- Deixar de transmitir a GFIP/SEFIP;</w:t>
            </w:r>
          </w:p>
          <w:p w:rsidR="009218D5" w:rsidRPr="009218D5" w:rsidRDefault="009218D5" w:rsidP="009218D5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E4354"/>
                <w:sz w:val="18"/>
                <w:szCs w:val="18"/>
                <w:lang w:eastAsia="pt-BR"/>
              </w:rPr>
            </w:pPr>
          </w:p>
          <w:p w:rsidR="009218D5" w:rsidRPr="009218D5" w:rsidRDefault="009218D5" w:rsidP="009218D5">
            <w:pPr>
              <w:spacing w:before="100" w:beforeAutospacing="1" w:after="100" w:afterAutospacing="1" w:line="240" w:lineRule="auto"/>
              <w:jc w:val="both"/>
              <w:rPr>
                <w:rFonts w:ascii="Arial" w:eastAsia="Times New Roman" w:hAnsi="Arial" w:cs="Arial"/>
                <w:color w:val="0E4354"/>
                <w:sz w:val="18"/>
                <w:szCs w:val="18"/>
                <w:lang w:eastAsia="pt-BR"/>
              </w:rPr>
            </w:pPr>
            <w:r w:rsidRPr="009218D5">
              <w:rPr>
                <w:rFonts w:ascii="Arial" w:eastAsia="Times New Roman" w:hAnsi="Arial" w:cs="Arial"/>
                <w:color w:val="0E4354"/>
                <w:sz w:val="27"/>
                <w:szCs w:val="27"/>
                <w:lang w:eastAsia="pt-BR"/>
              </w:rPr>
              <w:t>- Transmitir a GFIP/SEFIP com dados não correspondentes aos fatos geradores;</w:t>
            </w:r>
          </w:p>
          <w:p w:rsidR="009218D5" w:rsidRPr="009218D5" w:rsidRDefault="009218D5" w:rsidP="009218D5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E4354"/>
                <w:sz w:val="18"/>
                <w:szCs w:val="18"/>
                <w:lang w:eastAsia="pt-BR"/>
              </w:rPr>
            </w:pPr>
          </w:p>
          <w:p w:rsidR="009218D5" w:rsidRPr="009218D5" w:rsidRDefault="009218D5" w:rsidP="009218D5">
            <w:pPr>
              <w:spacing w:before="100" w:beforeAutospacing="1" w:after="100" w:afterAutospacing="1" w:line="240" w:lineRule="auto"/>
              <w:jc w:val="both"/>
              <w:rPr>
                <w:rFonts w:ascii="Arial" w:eastAsia="Times New Roman" w:hAnsi="Arial" w:cs="Arial"/>
                <w:color w:val="0E4354"/>
                <w:sz w:val="18"/>
                <w:szCs w:val="18"/>
                <w:lang w:eastAsia="pt-BR"/>
              </w:rPr>
            </w:pPr>
            <w:r w:rsidRPr="009218D5">
              <w:rPr>
                <w:rFonts w:ascii="Arial" w:eastAsia="Times New Roman" w:hAnsi="Arial" w:cs="Arial"/>
                <w:color w:val="0E4354"/>
                <w:sz w:val="27"/>
                <w:szCs w:val="27"/>
                <w:lang w:eastAsia="pt-BR"/>
              </w:rPr>
              <w:t>- Transmitir a GFIP/SEFIP com erro de preenchimento nos dados não relacionados aos fatos geradores.</w:t>
            </w:r>
          </w:p>
          <w:p w:rsidR="009218D5" w:rsidRPr="009218D5" w:rsidRDefault="009218D5" w:rsidP="009218D5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E4354"/>
                <w:sz w:val="18"/>
                <w:szCs w:val="18"/>
                <w:lang w:eastAsia="pt-BR"/>
              </w:rPr>
            </w:pPr>
          </w:p>
          <w:p w:rsidR="009218D5" w:rsidRPr="009218D5" w:rsidRDefault="009218D5" w:rsidP="009218D5">
            <w:pPr>
              <w:spacing w:before="100" w:beforeAutospacing="1" w:after="100" w:afterAutospacing="1" w:line="240" w:lineRule="auto"/>
              <w:jc w:val="both"/>
              <w:rPr>
                <w:rFonts w:ascii="Arial" w:eastAsia="Times New Roman" w:hAnsi="Arial" w:cs="Arial"/>
                <w:color w:val="0E4354"/>
                <w:sz w:val="18"/>
                <w:szCs w:val="18"/>
                <w:lang w:eastAsia="pt-BR"/>
              </w:rPr>
            </w:pPr>
            <w:r w:rsidRPr="009218D5">
              <w:rPr>
                <w:rFonts w:ascii="Arial" w:eastAsia="Times New Roman" w:hAnsi="Arial" w:cs="Arial"/>
                <w:color w:val="0E4354"/>
                <w:sz w:val="27"/>
                <w:szCs w:val="27"/>
                <w:lang w:eastAsia="pt-BR"/>
              </w:rPr>
              <w:t> </w:t>
            </w:r>
          </w:p>
          <w:p w:rsidR="009218D5" w:rsidRPr="009218D5" w:rsidRDefault="009218D5" w:rsidP="009218D5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E4354"/>
                <w:sz w:val="18"/>
                <w:szCs w:val="18"/>
                <w:lang w:eastAsia="pt-BR"/>
              </w:rPr>
            </w:pPr>
          </w:p>
          <w:p w:rsidR="009218D5" w:rsidRPr="009218D5" w:rsidRDefault="009218D5" w:rsidP="009218D5">
            <w:pPr>
              <w:spacing w:before="100" w:beforeAutospacing="1" w:after="100" w:afterAutospacing="1" w:line="240" w:lineRule="auto"/>
              <w:jc w:val="both"/>
              <w:rPr>
                <w:rFonts w:ascii="Arial" w:eastAsia="Times New Roman" w:hAnsi="Arial" w:cs="Arial"/>
                <w:color w:val="0E4354"/>
                <w:sz w:val="18"/>
                <w:szCs w:val="18"/>
                <w:lang w:eastAsia="pt-BR"/>
              </w:rPr>
            </w:pPr>
            <w:r w:rsidRPr="009218D5">
              <w:rPr>
                <w:rFonts w:ascii="Arial" w:eastAsia="Times New Roman" w:hAnsi="Arial" w:cs="Arial"/>
                <w:color w:val="0E4354"/>
                <w:sz w:val="27"/>
                <w:szCs w:val="27"/>
                <w:lang w:eastAsia="pt-BR"/>
              </w:rPr>
              <w:t>Os responsáveis estão sujeitos às sanções previstas na Lei nº 8.036, de 11 de maio de 1990, no que se refere ao FGTS, e às multas previstas na Lei nº 8.212, de 24 de julho de 1991 e alterações posteriores, no que tange à Previdência Social, observando o disposto na Portaria Interministerial MPS/TEM nº 227, de 25 de fevereiro de 2005.</w:t>
            </w:r>
          </w:p>
          <w:p w:rsidR="009218D5" w:rsidRPr="009218D5" w:rsidRDefault="009218D5" w:rsidP="009218D5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E4354"/>
                <w:sz w:val="18"/>
                <w:szCs w:val="18"/>
                <w:lang w:eastAsia="pt-BR"/>
              </w:rPr>
            </w:pPr>
          </w:p>
          <w:p w:rsidR="009218D5" w:rsidRPr="009218D5" w:rsidRDefault="009218D5" w:rsidP="009218D5">
            <w:pPr>
              <w:spacing w:before="100" w:beforeAutospacing="1" w:after="100" w:afterAutospacing="1" w:line="240" w:lineRule="auto"/>
              <w:jc w:val="both"/>
              <w:rPr>
                <w:rFonts w:ascii="Arial" w:eastAsia="Times New Roman" w:hAnsi="Arial" w:cs="Arial"/>
                <w:color w:val="0E4354"/>
                <w:sz w:val="18"/>
                <w:szCs w:val="18"/>
                <w:lang w:eastAsia="pt-BR"/>
              </w:rPr>
            </w:pPr>
            <w:r w:rsidRPr="009218D5">
              <w:rPr>
                <w:rFonts w:ascii="Arial" w:eastAsia="Times New Roman" w:hAnsi="Arial" w:cs="Arial"/>
                <w:color w:val="0E4354"/>
                <w:sz w:val="27"/>
                <w:szCs w:val="27"/>
                <w:lang w:eastAsia="pt-BR"/>
              </w:rPr>
              <w:t> </w:t>
            </w:r>
          </w:p>
          <w:p w:rsidR="009218D5" w:rsidRPr="009218D5" w:rsidRDefault="009218D5" w:rsidP="009218D5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E4354"/>
                <w:sz w:val="18"/>
                <w:szCs w:val="18"/>
                <w:lang w:eastAsia="pt-BR"/>
              </w:rPr>
            </w:pPr>
          </w:p>
          <w:p w:rsidR="009218D5" w:rsidRPr="009218D5" w:rsidRDefault="009218D5" w:rsidP="009218D5">
            <w:pPr>
              <w:spacing w:before="100" w:beforeAutospacing="1" w:after="100" w:afterAutospacing="1" w:line="240" w:lineRule="auto"/>
              <w:jc w:val="both"/>
              <w:rPr>
                <w:rFonts w:ascii="Arial" w:eastAsia="Times New Roman" w:hAnsi="Arial" w:cs="Arial"/>
                <w:color w:val="0E4354"/>
                <w:sz w:val="18"/>
                <w:szCs w:val="18"/>
                <w:lang w:eastAsia="pt-BR"/>
              </w:rPr>
            </w:pPr>
            <w:r w:rsidRPr="009218D5">
              <w:rPr>
                <w:rFonts w:ascii="Arial" w:eastAsia="Times New Roman" w:hAnsi="Arial" w:cs="Arial"/>
                <w:b/>
                <w:bCs/>
                <w:color w:val="0E4354"/>
                <w:sz w:val="27"/>
                <w:szCs w:val="27"/>
                <w:lang w:eastAsia="pt-BR"/>
              </w:rPr>
              <w:t>A correção da falta, antes de qualquer procedimento administrativo ou fiscal por parte da Secretaria da Receita Federal do Brasil, caracteriza a denúncia espontânea, afastando a aplicação das penalidades previstas na legislação citada.</w:t>
            </w:r>
          </w:p>
          <w:p w:rsidR="009218D5" w:rsidRPr="009218D5" w:rsidRDefault="009218D5" w:rsidP="009218D5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E4354"/>
                <w:sz w:val="18"/>
                <w:szCs w:val="18"/>
                <w:lang w:eastAsia="pt-BR"/>
              </w:rPr>
            </w:pPr>
          </w:p>
          <w:p w:rsidR="009218D5" w:rsidRPr="009218D5" w:rsidRDefault="009218D5" w:rsidP="009218D5">
            <w:pPr>
              <w:spacing w:before="100" w:beforeAutospacing="1" w:after="100" w:afterAutospacing="1" w:line="240" w:lineRule="auto"/>
              <w:jc w:val="both"/>
              <w:rPr>
                <w:rFonts w:ascii="Arial" w:eastAsia="Times New Roman" w:hAnsi="Arial" w:cs="Arial"/>
                <w:color w:val="0E4354"/>
                <w:sz w:val="18"/>
                <w:szCs w:val="18"/>
                <w:lang w:eastAsia="pt-BR"/>
              </w:rPr>
            </w:pPr>
            <w:r w:rsidRPr="009218D5">
              <w:rPr>
                <w:rFonts w:ascii="Arial" w:eastAsia="Times New Roman" w:hAnsi="Arial" w:cs="Arial"/>
                <w:b/>
                <w:bCs/>
                <w:color w:val="0E4354"/>
                <w:sz w:val="27"/>
                <w:szCs w:val="27"/>
                <w:lang w:eastAsia="pt-BR"/>
              </w:rPr>
              <w:t>(grifos acrescidos).</w:t>
            </w:r>
          </w:p>
          <w:p w:rsidR="009218D5" w:rsidRPr="009218D5" w:rsidRDefault="009218D5" w:rsidP="009218D5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E4354"/>
                <w:sz w:val="18"/>
                <w:szCs w:val="18"/>
                <w:lang w:eastAsia="pt-BR"/>
              </w:rPr>
            </w:pPr>
          </w:p>
        </w:tc>
      </w:tr>
    </w:tbl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lastRenderedPageBreak/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Desta forma, as orientações da própria Receita Federal do Brasil, sempre foram neste sentido, informando que a aplicação da multa somente ocorreria se após a intimação do contribuinte, o mesmo não efetuasse a regularização.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 xml:space="preserve">O próprio auto de infração comprova que a parte impugnante apresentou espontaneamente a declaração, quando descreve na fundamentação legal da aplicação da multa que: </w:t>
      </w:r>
      <w:proofErr w:type="gramStart"/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“</w:t>
      </w:r>
      <w:r w:rsidRPr="009218D5">
        <w:rPr>
          <w:rFonts w:ascii="Arial" w:eastAsia="Times New Roman" w:hAnsi="Arial" w:cs="Arial"/>
          <w:i/>
          <w:iCs/>
          <w:color w:val="0E4354"/>
          <w:sz w:val="27"/>
          <w:szCs w:val="27"/>
          <w:lang w:eastAsia="pt-BR"/>
        </w:rPr>
        <w:t>A multa cabível foi reduzida em 50% (cinquenta por cento) em virtude da entrega espontânea da declaração (...).</w:t>
      </w:r>
      <w:proofErr w:type="gramEnd"/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 xml:space="preserve">            Desta forma, tendo em vista </w:t>
      </w:r>
      <w:proofErr w:type="gramStart"/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a apresentação da declaração de forma espontânea, antes da intimação do contribuinte, caracterizada a denúncia</w:t>
      </w:r>
      <w:proofErr w:type="gramEnd"/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 xml:space="preserve"> espontânea prevista no artigo 138 do CTN, excluindo-se, portanto, a penalidade aplicada, tornando nulo de pleno direito o auto de infração em epígrafe.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proofErr w:type="gramStart"/>
      <w:r w:rsidRPr="009218D5">
        <w:rPr>
          <w:rFonts w:ascii="Arial" w:eastAsia="Times New Roman" w:hAnsi="Arial" w:cs="Arial"/>
          <w:b/>
          <w:bCs/>
          <w:color w:val="0E4354"/>
          <w:sz w:val="27"/>
          <w:szCs w:val="27"/>
          <w:lang w:eastAsia="pt-BR"/>
        </w:rPr>
        <w:t>II.</w:t>
      </w:r>
      <w:proofErr w:type="gramEnd"/>
      <w:r w:rsidRPr="009218D5">
        <w:rPr>
          <w:rFonts w:ascii="Arial" w:eastAsia="Times New Roman" w:hAnsi="Arial" w:cs="Arial"/>
          <w:b/>
          <w:bCs/>
          <w:color w:val="0E4354"/>
          <w:sz w:val="27"/>
          <w:szCs w:val="27"/>
          <w:lang w:eastAsia="pt-BR"/>
        </w:rPr>
        <w:t>3 – DA FALTA DE MOTIVAÇÃO DO ATO ADMINISTRATIVO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lastRenderedPageBreak/>
        <w:t>            Compulsando-se o auto de infração em epígrafe, verifica-se que sua motivação é inadequada, pois, contrária à lei que prevê </w:t>
      </w:r>
      <w:r w:rsidRPr="009218D5">
        <w:rPr>
          <w:rFonts w:ascii="Arial" w:eastAsia="Times New Roman" w:hAnsi="Arial" w:cs="Arial"/>
          <w:b/>
          <w:bCs/>
          <w:color w:val="0E4354"/>
          <w:sz w:val="27"/>
          <w:szCs w:val="27"/>
          <w:lang w:eastAsia="pt-BR"/>
        </w:rPr>
        <w:t>a necessidade de intimação do contribuinte antes da aplicação das penalidades</w:t>
      </w: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.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b/>
          <w:bCs/>
          <w:color w:val="0E4354"/>
          <w:sz w:val="27"/>
          <w:szCs w:val="27"/>
          <w:lang w:eastAsia="pt-BR"/>
        </w:rPr>
        <w:t>Para Lúcia Valle Figueiredo, a exigência de motivação é expressa no texto constitucional</w:t>
      </w:r>
      <w:r w:rsidRPr="009218D5">
        <w:rPr>
          <w:rFonts w:ascii="Arial" w:eastAsia="Times New Roman" w:hAnsi="Arial" w:cs="Arial"/>
          <w:b/>
          <w:bCs/>
          <w:i/>
          <w:iCs/>
          <w:color w:val="0E4354"/>
          <w:sz w:val="27"/>
          <w:szCs w:val="27"/>
          <w:lang w:eastAsia="pt-BR"/>
        </w:rPr>
        <w:t>: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b/>
          <w:bCs/>
          <w:i/>
          <w:iCs/>
          <w:color w:val="0E4354"/>
          <w:sz w:val="27"/>
          <w:szCs w:val="27"/>
          <w:lang w:eastAsia="pt-BR"/>
        </w:rPr>
        <w:t xml:space="preserve">(...) a necessidade de motivação é expressa no texto constitucional. É o que se colhe do art. 93, inciso X, que obriga sejam as decisões administrativas do Judiciário motivadas. Ora, se quando o Judiciário exerce função atípica – a administrativa – deve </w:t>
      </w:r>
      <w:proofErr w:type="gramStart"/>
      <w:r w:rsidRPr="009218D5">
        <w:rPr>
          <w:rFonts w:ascii="Arial" w:eastAsia="Times New Roman" w:hAnsi="Arial" w:cs="Arial"/>
          <w:b/>
          <w:bCs/>
          <w:i/>
          <w:iCs/>
          <w:color w:val="0E4354"/>
          <w:sz w:val="27"/>
          <w:szCs w:val="27"/>
          <w:lang w:eastAsia="pt-BR"/>
        </w:rPr>
        <w:t>motivar,</w:t>
      </w:r>
      <w:proofErr w:type="gramEnd"/>
      <w:r w:rsidRPr="009218D5">
        <w:rPr>
          <w:rFonts w:ascii="Arial" w:eastAsia="Times New Roman" w:hAnsi="Arial" w:cs="Arial"/>
          <w:b/>
          <w:bCs/>
          <w:i/>
          <w:iCs/>
          <w:color w:val="0E4354"/>
          <w:sz w:val="27"/>
          <w:szCs w:val="27"/>
          <w:lang w:eastAsia="pt-BR"/>
        </w:rPr>
        <w:t xml:space="preserve"> como conceber esteja o administrador desobrigado da mesma conduta?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b/>
          <w:bCs/>
          <w:color w:val="0E4354"/>
          <w:sz w:val="27"/>
          <w:szCs w:val="27"/>
          <w:lang w:eastAsia="pt-BR"/>
        </w:rPr>
        <w:t> 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b/>
          <w:bCs/>
          <w:color w:val="0E4354"/>
          <w:sz w:val="27"/>
          <w:szCs w:val="27"/>
          <w:lang w:eastAsia="pt-BR"/>
        </w:rPr>
        <w:t>Além disso, o dever de motivar, artigo 5º, XXXV, da CF/88, é garantidor do direito à apreciação judicial, sendo a motivação uma exigência constitucional, por ser pressuposto para a realização do direito fundamental à inafastabilidade da tutela judicial.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b/>
          <w:bCs/>
          <w:color w:val="0E4354"/>
          <w:sz w:val="27"/>
          <w:szCs w:val="27"/>
          <w:lang w:eastAsia="pt-BR"/>
        </w:rPr>
        <w:t>A exigência de motivar não somente é implícita, mas também expressa, pois, segundo consta do artigo 2º da lei 9784/99, o princípio da motivação deve ser obedecido pela Administração.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b/>
          <w:bCs/>
          <w:color w:val="0E4354"/>
          <w:sz w:val="27"/>
          <w:szCs w:val="27"/>
          <w:lang w:eastAsia="pt-BR"/>
        </w:rPr>
        <w:t> 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b/>
          <w:bCs/>
          <w:color w:val="0E4354"/>
          <w:sz w:val="27"/>
          <w:szCs w:val="27"/>
          <w:lang w:eastAsia="pt-BR"/>
        </w:rPr>
        <w:lastRenderedPageBreak/>
        <w:t xml:space="preserve">Como podemos </w:t>
      </w:r>
      <w:proofErr w:type="gramStart"/>
      <w:r w:rsidRPr="009218D5">
        <w:rPr>
          <w:rFonts w:ascii="Arial" w:eastAsia="Times New Roman" w:hAnsi="Arial" w:cs="Arial"/>
          <w:b/>
          <w:bCs/>
          <w:color w:val="0E4354"/>
          <w:sz w:val="27"/>
          <w:szCs w:val="27"/>
          <w:lang w:eastAsia="pt-BR"/>
        </w:rPr>
        <w:t>observar,</w:t>
      </w:r>
      <w:proofErr w:type="gramEnd"/>
      <w:r w:rsidRPr="009218D5">
        <w:rPr>
          <w:rFonts w:ascii="Arial" w:eastAsia="Times New Roman" w:hAnsi="Arial" w:cs="Arial"/>
          <w:b/>
          <w:bCs/>
          <w:color w:val="0E4354"/>
          <w:sz w:val="27"/>
          <w:szCs w:val="27"/>
          <w:lang w:eastAsia="pt-BR"/>
        </w:rPr>
        <w:t xml:space="preserve"> a motivação do ato administrativo em comento não condiz com a realidade fática uma vez que inexistiu a intimação prévia prevista no artigo 32-A da Lei 8.212. Desta forma, a falta de motivação torna o auto de infração nulo de pleno direito.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proofErr w:type="gramStart"/>
      <w:r w:rsidRPr="009218D5">
        <w:rPr>
          <w:rFonts w:ascii="Arial" w:eastAsia="Times New Roman" w:hAnsi="Arial" w:cs="Arial"/>
          <w:b/>
          <w:bCs/>
          <w:color w:val="0E4354"/>
          <w:sz w:val="27"/>
          <w:szCs w:val="27"/>
          <w:lang w:eastAsia="pt-BR"/>
        </w:rPr>
        <w:t>II.</w:t>
      </w:r>
      <w:proofErr w:type="gramEnd"/>
      <w:r w:rsidRPr="009218D5">
        <w:rPr>
          <w:rFonts w:ascii="Arial" w:eastAsia="Times New Roman" w:hAnsi="Arial" w:cs="Arial"/>
          <w:b/>
          <w:bCs/>
          <w:color w:val="0E4354"/>
          <w:sz w:val="27"/>
          <w:szCs w:val="27"/>
          <w:lang w:eastAsia="pt-BR"/>
        </w:rPr>
        <w:t>4 – DO ESTATUTO DA MICROEMPRESA E EMPRESA DE PEQUENO PORTE LEI COMPLEMENTAR 123/06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A autuada é uma Microempresa, </w:t>
      </w:r>
      <w:r w:rsidRPr="009218D5">
        <w:rPr>
          <w:rFonts w:ascii="Arial" w:eastAsia="Times New Roman" w:hAnsi="Arial" w:cs="Arial"/>
          <w:b/>
          <w:bCs/>
          <w:color w:val="0E4354"/>
          <w:sz w:val="27"/>
          <w:szCs w:val="27"/>
          <w:lang w:eastAsia="pt-BR"/>
        </w:rPr>
        <w:t>amparada pelo Estatuto da Microempresa e Empresa de Pequeno Porte</w:t>
      </w: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. Prevê o artigo 55 da Lei Complementar 123: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i/>
          <w:iCs/>
          <w:color w:val="0E4354"/>
          <w:sz w:val="27"/>
          <w:szCs w:val="27"/>
          <w:lang w:eastAsia="pt-BR"/>
        </w:rPr>
        <w:t xml:space="preserve">Artigo 55. A fiscalização, no que se refere aos </w:t>
      </w:r>
      <w:proofErr w:type="spellStart"/>
      <w:proofErr w:type="gramStart"/>
      <w:r w:rsidRPr="009218D5">
        <w:rPr>
          <w:rFonts w:ascii="Arial" w:eastAsia="Times New Roman" w:hAnsi="Arial" w:cs="Arial"/>
          <w:i/>
          <w:iCs/>
          <w:color w:val="0E4354"/>
          <w:sz w:val="27"/>
          <w:szCs w:val="27"/>
          <w:lang w:eastAsia="pt-BR"/>
        </w:rPr>
        <w:t>aspectos:</w:t>
      </w:r>
      <w:proofErr w:type="gramEnd"/>
      <w:r w:rsidRPr="009218D5">
        <w:rPr>
          <w:rFonts w:ascii="Arial" w:eastAsia="Times New Roman" w:hAnsi="Arial" w:cs="Arial"/>
          <w:i/>
          <w:iCs/>
          <w:color w:val="0E4354"/>
          <w:sz w:val="27"/>
          <w:szCs w:val="27"/>
          <w:lang w:eastAsia="pt-BR"/>
        </w:rPr>
        <w:t>trabalhista</w:t>
      </w:r>
      <w:proofErr w:type="spellEnd"/>
      <w:r w:rsidRPr="009218D5">
        <w:rPr>
          <w:rFonts w:ascii="Arial" w:eastAsia="Times New Roman" w:hAnsi="Arial" w:cs="Arial"/>
          <w:i/>
          <w:iCs/>
          <w:color w:val="0E4354"/>
          <w:sz w:val="27"/>
          <w:szCs w:val="27"/>
          <w:lang w:eastAsia="pt-BR"/>
        </w:rPr>
        <w:t>, metrológico, sanitário, ambiental e de segurança, das microempresas e empresas de pequeno porte </w:t>
      </w:r>
      <w:r w:rsidRPr="009218D5">
        <w:rPr>
          <w:rFonts w:ascii="Arial" w:eastAsia="Times New Roman" w:hAnsi="Arial" w:cs="Arial"/>
          <w:b/>
          <w:bCs/>
          <w:i/>
          <w:iCs/>
          <w:color w:val="0E4354"/>
          <w:sz w:val="27"/>
          <w:szCs w:val="27"/>
          <w:lang w:eastAsia="pt-BR"/>
        </w:rPr>
        <w:t>deverá ter natureza prioritariamente orientadora, </w:t>
      </w:r>
      <w:r w:rsidRPr="009218D5">
        <w:rPr>
          <w:rFonts w:ascii="Arial" w:eastAsia="Times New Roman" w:hAnsi="Arial" w:cs="Arial"/>
          <w:i/>
          <w:iCs/>
          <w:color w:val="0E4354"/>
          <w:sz w:val="27"/>
          <w:szCs w:val="27"/>
          <w:lang w:eastAsia="pt-BR"/>
        </w:rPr>
        <w:t>quando a atividade ou situação, por sua natureza comportar grau de risco compatível com esse procedimento.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i/>
          <w:iCs/>
          <w:color w:val="0E4354"/>
          <w:sz w:val="27"/>
          <w:szCs w:val="27"/>
          <w:lang w:eastAsia="pt-BR"/>
        </w:rPr>
        <w:t>Parágrafo Primeiro: </w:t>
      </w:r>
      <w:r w:rsidRPr="009218D5">
        <w:rPr>
          <w:rFonts w:ascii="Arial" w:eastAsia="Times New Roman" w:hAnsi="Arial" w:cs="Arial"/>
          <w:b/>
          <w:bCs/>
          <w:i/>
          <w:iCs/>
          <w:color w:val="0E4354"/>
          <w:sz w:val="27"/>
          <w:szCs w:val="27"/>
          <w:lang w:eastAsia="pt-BR"/>
        </w:rPr>
        <w:t>Será observado o critério de dupla visita para lavratura de autos de infração </w:t>
      </w:r>
      <w:r w:rsidRPr="009218D5">
        <w:rPr>
          <w:rFonts w:ascii="Arial" w:eastAsia="Times New Roman" w:hAnsi="Arial" w:cs="Arial"/>
          <w:i/>
          <w:iCs/>
          <w:color w:val="0E4354"/>
          <w:sz w:val="27"/>
          <w:szCs w:val="27"/>
          <w:lang w:eastAsia="pt-BR"/>
        </w:rPr>
        <w:t xml:space="preserve">salvo quando for constatada infração por falta de registro de empregado ou anotação da Carteira de Trabalho e Previdência Social, ou ainda na o ocorrência de </w:t>
      </w:r>
      <w:proofErr w:type="gramStart"/>
      <w:r w:rsidRPr="009218D5">
        <w:rPr>
          <w:rFonts w:ascii="Arial" w:eastAsia="Times New Roman" w:hAnsi="Arial" w:cs="Arial"/>
          <w:i/>
          <w:iCs/>
          <w:color w:val="0E4354"/>
          <w:sz w:val="27"/>
          <w:szCs w:val="27"/>
          <w:lang w:eastAsia="pt-BR"/>
        </w:rPr>
        <w:t>reincidência ,</w:t>
      </w:r>
      <w:proofErr w:type="gramEnd"/>
      <w:r w:rsidRPr="009218D5">
        <w:rPr>
          <w:rFonts w:ascii="Arial" w:eastAsia="Times New Roman" w:hAnsi="Arial" w:cs="Arial"/>
          <w:i/>
          <w:iCs/>
          <w:color w:val="0E4354"/>
          <w:sz w:val="27"/>
          <w:szCs w:val="27"/>
          <w:lang w:eastAsia="pt-BR"/>
        </w:rPr>
        <w:t xml:space="preserve"> fraude, resistência ou embaraço a fiscalização”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A autuada é uma MICROEMPRESA que entregou espontaneamente suas declarações, formalizando sua denúncia espontânea nos termos exatos do manual GFIP/SEFIP, 8.4, disponível para consulta: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FD6461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hyperlink r:id="rId8" w:history="1">
        <w:r w:rsidR="009218D5" w:rsidRPr="009218D5">
          <w:rPr>
            <w:rFonts w:ascii="Arial" w:eastAsia="Times New Roman" w:hAnsi="Arial" w:cs="Arial"/>
            <w:color w:val="256C89"/>
            <w:sz w:val="27"/>
            <w:szCs w:val="27"/>
            <w:u w:val="single"/>
            <w:lang w:eastAsia="pt-BR"/>
          </w:rPr>
          <w:t>http://www.receita.fazenda.gov.br/previdencia/gfip/gfip3manform.htm</w:t>
        </w:r>
      </w:hyperlink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lastRenderedPageBreak/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Tendo em vista a legislação aplicável e o seu enquadramento, a autuada faz jus aos benefícios previstos na LC 123/2006 que prevê a fiscalização orientadora, não punitiva, tal como ocorreu no caso em apreço.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proofErr w:type="gramStart"/>
      <w:r w:rsidRPr="009218D5">
        <w:rPr>
          <w:rFonts w:ascii="Arial" w:eastAsia="Times New Roman" w:hAnsi="Arial" w:cs="Arial"/>
          <w:b/>
          <w:bCs/>
          <w:color w:val="0E4354"/>
          <w:sz w:val="27"/>
          <w:szCs w:val="27"/>
          <w:lang w:eastAsia="pt-BR"/>
        </w:rPr>
        <w:t>II.</w:t>
      </w:r>
      <w:proofErr w:type="gramEnd"/>
      <w:r w:rsidRPr="009218D5">
        <w:rPr>
          <w:rFonts w:ascii="Arial" w:eastAsia="Times New Roman" w:hAnsi="Arial" w:cs="Arial"/>
          <w:b/>
          <w:bCs/>
          <w:color w:val="0E4354"/>
          <w:sz w:val="27"/>
          <w:szCs w:val="27"/>
          <w:lang w:eastAsia="pt-BR"/>
        </w:rPr>
        <w:t>5 – DO CARÁTER CONFISCATÓRIO DA MULTA APLICADA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 xml:space="preserve">A multa aplicada é </w:t>
      </w:r>
      <w:proofErr w:type="spellStart"/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dezarrazoada</w:t>
      </w:r>
      <w:proofErr w:type="spellEnd"/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 xml:space="preserve"> e desproporcional. Basta que esta autoridade verifique que a autuada sequer possui empregados. O único fato gerador de contribuição previdenciária é o trabalho exercido por um sócio. A aplicação de multa em valor mínimo para o caso em questão</w:t>
      </w:r>
      <w:proofErr w:type="gramStart"/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, fere</w:t>
      </w:r>
      <w:proofErr w:type="gramEnd"/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 xml:space="preserve"> a proporcionalidade e a razoabilidade.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A vedação ao confisco é princípio com sede constitucional (art. 150, IV da CF/88</w:t>
      </w:r>
      <w:hyperlink r:id="rId9" w:anchor="_ftn3" w:history="1">
        <w:r w:rsidRPr="009218D5">
          <w:rPr>
            <w:rFonts w:ascii="Arial" w:eastAsia="Times New Roman" w:hAnsi="Arial" w:cs="Arial"/>
            <w:b/>
            <w:bCs/>
            <w:color w:val="256C89"/>
            <w:sz w:val="27"/>
            <w:szCs w:val="27"/>
            <w:u w:val="single"/>
            <w:lang w:eastAsia="pt-BR"/>
          </w:rPr>
          <w:t>[3]</w:t>
        </w:r>
      </w:hyperlink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), não podendo ser jamais olvidado pelas Autoridades Fiscais.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 xml:space="preserve">O confisco consiste no consumo da propriedade privada pelo Poder Público, sem a correspondente indenização. Aparece como medida de caráter sancionatório, excepcionalmente admitida nas hipóteses </w:t>
      </w: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lastRenderedPageBreak/>
        <w:t>previstas pela Constituição da República, mas nunca no campo do Direito Tributário</w:t>
      </w:r>
      <w:hyperlink r:id="rId10" w:anchor="_ftn4" w:history="1">
        <w:r w:rsidRPr="009218D5">
          <w:rPr>
            <w:rFonts w:ascii="Arial" w:eastAsia="Times New Roman" w:hAnsi="Arial" w:cs="Arial"/>
            <w:color w:val="256C89"/>
            <w:sz w:val="27"/>
            <w:szCs w:val="27"/>
            <w:u w:val="single"/>
            <w:lang w:eastAsia="pt-BR"/>
          </w:rPr>
          <w:t>[4]</w:t>
        </w:r>
      </w:hyperlink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.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Neste pormenor, o Supremo Tribunal Federal já se manifestou, tratando da redução ou exclusão de multas aplicadas pela autoridade administrativa nos termos de lei fixadora da sanção: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 xml:space="preserve">"ICM. Redução de multa de feição confiscatória. Tem o STF admitido </w:t>
      </w:r>
      <w:proofErr w:type="gramStart"/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a</w:t>
      </w:r>
      <w:proofErr w:type="gramEnd"/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 xml:space="preserve"> redução de multa moratória imposta com base na lei, quando assume ela, pelo seu montante desproporcionado, feição confiscatória. Dissídio de jurisprudência não demonstrado. RE não conhecido" (RE 91.707-MG, Rel. Min. Moreira Alves, Ac. Unânime da 2ª Turma - RTJ 96/1354).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i/>
          <w:iCs/>
          <w:color w:val="0E4354"/>
          <w:sz w:val="27"/>
          <w:szCs w:val="27"/>
          <w:lang w:eastAsia="pt-BR"/>
        </w:rPr>
        <w:lastRenderedPageBreak/>
        <w:t>"Multa fiscal. Pode o Judiciário, atendendo às circunstâncias do caso concreto, reduzir multa excessiva aplicada pelo Fisco" (RE 82.510-SP, AC. Unânime da 2ª Turma, Rel. Min. Leitão de Abreu - RTJ37/296-97).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Conclui-se, portanto, que a fixação da multa pecuniária punitiva deve seguir parâmetros que não venha a ser essa classificada como abusiva ou confiscatória, fato este não observado no presente feito.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proofErr w:type="gramStart"/>
      <w:r w:rsidRPr="009218D5">
        <w:rPr>
          <w:rFonts w:ascii="Arial" w:eastAsia="Times New Roman" w:hAnsi="Arial" w:cs="Arial"/>
          <w:b/>
          <w:bCs/>
          <w:color w:val="0E4354"/>
          <w:sz w:val="27"/>
          <w:szCs w:val="27"/>
          <w:lang w:eastAsia="pt-BR"/>
        </w:rPr>
        <w:t>II.</w:t>
      </w:r>
      <w:proofErr w:type="gramEnd"/>
      <w:r w:rsidRPr="009218D5">
        <w:rPr>
          <w:rFonts w:ascii="Arial" w:eastAsia="Times New Roman" w:hAnsi="Arial" w:cs="Arial"/>
          <w:b/>
          <w:bCs/>
          <w:color w:val="0E4354"/>
          <w:sz w:val="27"/>
          <w:szCs w:val="27"/>
          <w:lang w:eastAsia="pt-BR"/>
        </w:rPr>
        <w:t>6 – DO Projeto de Lei 7.512/2014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           Foi aprovado na Comissão do Trabalho, Administração e Serviço Público o PL 7512/2014, de autoria do deputado federal Laércio Oliveira, que propõe a anistia da cobrança de multas geradas pela falta ou atraso na entrega da guia de recolhimento do FGTS e Informações à Previdência Social (GFIP).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lastRenderedPageBreak/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Na visão do nobre deputado: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i/>
          <w:iCs/>
          <w:color w:val="0E4354"/>
          <w:sz w:val="27"/>
          <w:szCs w:val="27"/>
          <w:lang w:eastAsia="pt-BR"/>
        </w:rPr>
        <w:t>“O que a Receita Federal está fazendo não é moralmente aceitável”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Para o presidente do sindicato de Serviços Contábeis (SESCON-SP), Sérgio Approbato Machado Júnior, a cobrança precisa ser revertida, pois a falta destes dados não gerou prejuízos ao Governo, mas o acumulado destas penalidades pode acarretar em grandes danos aos contribuintes.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i/>
          <w:iCs/>
          <w:color w:val="0E4354"/>
          <w:sz w:val="27"/>
          <w:szCs w:val="27"/>
          <w:lang w:eastAsia="pt-BR"/>
        </w:rPr>
        <w:t>"A situação esbarra no caráter educativo das multas e pode trazer consequências como a descontinuidade de empresas e desemprego", frisa o líder setorial.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lastRenderedPageBreak/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O projeto agora segue para a Comissão de Finanças e Tributação e em seguida para a Comissão de Constituição e Justiça e o Plenário da Câmara dos Deputados.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A impugnante anexa o projeto de lei na íntegra, sendo certo que as multas constantes no auto de infração serão anistiadas quando da aprovação do presente dispositivo legal.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b/>
          <w:bCs/>
          <w:color w:val="0E4354"/>
          <w:sz w:val="27"/>
          <w:szCs w:val="27"/>
          <w:lang w:eastAsia="pt-BR"/>
        </w:rPr>
        <w:t> 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          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b/>
          <w:bCs/>
          <w:color w:val="0E4354"/>
          <w:sz w:val="27"/>
          <w:szCs w:val="27"/>
          <w:lang w:eastAsia="pt-BR"/>
        </w:rPr>
        <w:lastRenderedPageBreak/>
        <w:t>III- DO PEDIDO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 xml:space="preserve">Diante do exposto, requer a anulação do auto de infração </w:t>
      </w:r>
      <w:proofErr w:type="spellStart"/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xxxxxxxxxxxxxxxxxxxx</w:t>
      </w:r>
      <w:proofErr w:type="spellEnd"/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 xml:space="preserve">, com o </w:t>
      </w:r>
      <w:proofErr w:type="spellStart"/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conseqüente</w:t>
      </w:r>
      <w:proofErr w:type="spellEnd"/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 xml:space="preserve"> cancelamento do mesmo para que não produza nenhum efeito jurídico, como forma da mais </w:t>
      </w:r>
      <w:proofErr w:type="spellStart"/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ínteira</w:t>
      </w:r>
      <w:proofErr w:type="spellEnd"/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 xml:space="preserve"> justiça.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Nestes Termos,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Pede Deferimento.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Belo Horizonte, 15 de dezembro de 2015.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lastRenderedPageBreak/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XXXXXXXXXXXXXXXXXXXXXXXX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9218D5" w:rsidRPr="009218D5" w:rsidRDefault="00FD6461" w:rsidP="009218D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>
        <w:rPr>
          <w:rFonts w:ascii="Arial" w:eastAsia="Times New Roman" w:hAnsi="Arial" w:cs="Arial"/>
          <w:color w:val="0E4354"/>
          <w:sz w:val="18"/>
          <w:szCs w:val="18"/>
          <w:lang w:eastAsia="pt-BR"/>
        </w:rPr>
        <w:pict>
          <v:rect id="_x0000_i1025" style="width:140.3pt;height:.75pt" o:hrpct="330" o:hrstd="t" o:hr="t" fillcolor="#a0a0a0" stroked="f"/>
        </w:pict>
      </w:r>
    </w:p>
    <w:p w:rsidR="009218D5" w:rsidRPr="009218D5" w:rsidRDefault="009218D5" w:rsidP="009218D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</w:p>
    <w:p w:rsidR="009218D5" w:rsidRPr="009218D5" w:rsidRDefault="009218D5" w:rsidP="009218D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</w:p>
    <w:p w:rsidR="009218D5" w:rsidRPr="009218D5" w:rsidRDefault="00FD6461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hyperlink r:id="rId11" w:anchor="_ftnref1" w:history="1">
        <w:r w:rsidR="009218D5" w:rsidRPr="009218D5">
          <w:rPr>
            <w:rFonts w:ascii="Arial" w:eastAsia="Times New Roman" w:hAnsi="Arial" w:cs="Arial"/>
            <w:color w:val="256C89"/>
            <w:sz w:val="27"/>
            <w:szCs w:val="27"/>
            <w:u w:val="single"/>
            <w:lang w:eastAsia="pt-BR"/>
          </w:rPr>
          <w:t>[1]</w:t>
        </w:r>
      </w:hyperlink>
      <w:r w:rsidR="009218D5"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BECKER, Alfredo Augusto. </w:t>
      </w:r>
      <w:r w:rsidR="009218D5" w:rsidRPr="009218D5">
        <w:rPr>
          <w:rFonts w:ascii="Arial" w:eastAsia="Times New Roman" w:hAnsi="Arial" w:cs="Arial"/>
          <w:i/>
          <w:iCs/>
          <w:color w:val="0E4354"/>
          <w:sz w:val="27"/>
          <w:szCs w:val="27"/>
          <w:lang w:eastAsia="pt-BR"/>
        </w:rPr>
        <w:t>Teoria geral do direito tributário</w:t>
      </w:r>
      <w:r w:rsidR="009218D5"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 xml:space="preserve">. </w:t>
      </w:r>
      <w:proofErr w:type="gramStart"/>
      <w:r w:rsidR="009218D5"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3</w:t>
      </w:r>
      <w:proofErr w:type="gramEnd"/>
      <w:r w:rsidR="009218D5"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 xml:space="preserve"> ed. São Paulo: </w:t>
      </w:r>
      <w:proofErr w:type="spellStart"/>
      <w:r w:rsidR="009218D5"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Lejus</w:t>
      </w:r>
      <w:proofErr w:type="spellEnd"/>
      <w:r w:rsidR="009218D5"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, 2002, p. 307.</w:t>
      </w:r>
    </w:p>
    <w:p w:rsidR="009218D5" w:rsidRPr="009218D5" w:rsidRDefault="009218D5" w:rsidP="009218D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</w:p>
    <w:p w:rsidR="009218D5" w:rsidRPr="009218D5" w:rsidRDefault="009218D5" w:rsidP="009218D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</w:p>
    <w:p w:rsidR="009218D5" w:rsidRPr="009218D5" w:rsidRDefault="009218D5" w:rsidP="009218D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</w:p>
    <w:p w:rsidR="009218D5" w:rsidRPr="009218D5" w:rsidRDefault="00FD6461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hyperlink r:id="rId12" w:anchor="_ftnref2" w:history="1">
        <w:r w:rsidR="009218D5" w:rsidRPr="009218D5">
          <w:rPr>
            <w:rFonts w:ascii="Arial" w:eastAsia="Times New Roman" w:hAnsi="Arial" w:cs="Arial"/>
            <w:color w:val="256C89"/>
            <w:sz w:val="27"/>
            <w:szCs w:val="27"/>
            <w:u w:val="single"/>
            <w:lang w:eastAsia="pt-BR"/>
          </w:rPr>
          <w:t>[2]</w:t>
        </w:r>
      </w:hyperlink>
      <w:r w:rsidR="009218D5" w:rsidRPr="009218D5">
        <w:rPr>
          <w:rFonts w:ascii="Arial" w:eastAsia="Times New Roman" w:hAnsi="Arial" w:cs="Arial"/>
          <w:i/>
          <w:iCs/>
          <w:color w:val="0E4354"/>
          <w:sz w:val="27"/>
          <w:szCs w:val="27"/>
          <w:lang w:eastAsia="pt-BR"/>
        </w:rPr>
        <w:t>Idem</w:t>
      </w:r>
      <w:r w:rsidR="009218D5"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, p. 320.</w:t>
      </w:r>
    </w:p>
    <w:p w:rsidR="009218D5" w:rsidRPr="009218D5" w:rsidRDefault="009218D5" w:rsidP="009218D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</w:p>
    <w:p w:rsidR="009218D5" w:rsidRPr="009218D5" w:rsidRDefault="009218D5" w:rsidP="009218D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</w:p>
    <w:p w:rsidR="009218D5" w:rsidRPr="009218D5" w:rsidRDefault="009218D5" w:rsidP="009218D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</w:p>
    <w:p w:rsidR="009218D5" w:rsidRPr="009218D5" w:rsidRDefault="00FD6461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hyperlink r:id="rId13" w:anchor="_ftnref3" w:history="1">
        <w:r w:rsidR="009218D5" w:rsidRPr="009218D5">
          <w:rPr>
            <w:rFonts w:ascii="Arial" w:eastAsia="Times New Roman" w:hAnsi="Arial" w:cs="Arial"/>
            <w:color w:val="256C89"/>
            <w:sz w:val="27"/>
            <w:szCs w:val="27"/>
            <w:u w:val="single"/>
            <w:lang w:eastAsia="pt-BR"/>
          </w:rPr>
          <w:t>[3]</w:t>
        </w:r>
      </w:hyperlink>
      <w:r w:rsidR="009218D5"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Art. 150. Sem prejuízo de outras garantias asseguradas ao contribuinte, é vedado à União, aos Estados, ao Distrito Federal e aos Municípios:</w:t>
      </w:r>
      <w:r w:rsidR="009218D5" w:rsidRPr="009218D5">
        <w:rPr>
          <w:rFonts w:ascii="Arial" w:eastAsia="Times New Roman" w:hAnsi="Arial" w:cs="Arial"/>
          <w:i/>
          <w:iCs/>
          <w:color w:val="0E4354"/>
          <w:sz w:val="27"/>
          <w:szCs w:val="27"/>
          <w:lang w:eastAsia="pt-BR"/>
        </w:rPr>
        <w:t> (...</w:t>
      </w:r>
      <w:proofErr w:type="gramStart"/>
      <w:r w:rsidR="009218D5" w:rsidRPr="009218D5">
        <w:rPr>
          <w:rFonts w:ascii="Arial" w:eastAsia="Times New Roman" w:hAnsi="Arial" w:cs="Arial"/>
          <w:i/>
          <w:iCs/>
          <w:color w:val="0E4354"/>
          <w:sz w:val="27"/>
          <w:szCs w:val="27"/>
          <w:lang w:eastAsia="pt-BR"/>
        </w:rPr>
        <w:t>)</w:t>
      </w:r>
      <w:proofErr w:type="gramEnd"/>
    </w:p>
    <w:p w:rsidR="009218D5" w:rsidRPr="009218D5" w:rsidRDefault="009218D5" w:rsidP="009218D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IV – utilizar tributo com efeito de confisco</w:t>
      </w:r>
      <w:r w:rsidRPr="009218D5">
        <w:rPr>
          <w:rFonts w:ascii="Arial" w:eastAsia="Times New Roman" w:hAnsi="Arial" w:cs="Arial"/>
          <w:i/>
          <w:iCs/>
          <w:color w:val="0E4354"/>
          <w:sz w:val="27"/>
          <w:szCs w:val="27"/>
          <w:lang w:eastAsia="pt-BR"/>
        </w:rPr>
        <w:t>.</w:t>
      </w:r>
    </w:p>
    <w:p w:rsidR="009218D5" w:rsidRPr="009218D5" w:rsidRDefault="009218D5" w:rsidP="009218D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</w:p>
    <w:p w:rsidR="009218D5" w:rsidRPr="009218D5" w:rsidRDefault="009218D5" w:rsidP="009218D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</w:p>
    <w:p w:rsidR="009218D5" w:rsidRPr="009218D5" w:rsidRDefault="009218D5" w:rsidP="009218D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</w:p>
    <w:p w:rsidR="009218D5" w:rsidRPr="009218D5" w:rsidRDefault="00FD6461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hyperlink r:id="rId14" w:anchor="_ftnref4" w:history="1">
        <w:r w:rsidR="009218D5" w:rsidRPr="009218D5">
          <w:rPr>
            <w:rFonts w:ascii="Arial" w:eastAsia="Times New Roman" w:hAnsi="Arial" w:cs="Arial"/>
            <w:color w:val="256C89"/>
            <w:sz w:val="27"/>
            <w:szCs w:val="27"/>
            <w:u w:val="single"/>
            <w:lang w:eastAsia="pt-BR"/>
          </w:rPr>
          <w:t>[4]</w:t>
        </w:r>
      </w:hyperlink>
      <w:r w:rsidR="009218D5"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</w:t>
      </w:r>
      <w:r w:rsidR="009218D5" w:rsidRPr="009218D5">
        <w:rPr>
          <w:rFonts w:ascii="Arial" w:eastAsia="Times New Roman" w:hAnsi="Arial" w:cs="Arial"/>
          <w:i/>
          <w:iCs/>
          <w:color w:val="0E4354"/>
          <w:sz w:val="27"/>
          <w:szCs w:val="27"/>
          <w:lang w:eastAsia="pt-BR"/>
        </w:rPr>
        <w:t>"O conceito clássico de confisco operado pelo Poder do Estado contra o cidadão empata com a apropriação de alheia propriedade sem contraprestação, pela expropriação indireta ou pela tributação. O confisco pela tributação é indireto. Quando o montante do tributo é tal que consome a renda ou a propriedade, os proprietários perdem ou tendem a desfazer-se de seus bens" </w:t>
      </w:r>
      <w:r w:rsidR="009218D5"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 xml:space="preserve">(Comentários à Constituição de </w:t>
      </w:r>
      <w:proofErr w:type="gramStart"/>
      <w:r w:rsidR="009218D5"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1988 - Sistema</w:t>
      </w:r>
      <w:proofErr w:type="gramEnd"/>
      <w:r w:rsidR="009218D5"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 xml:space="preserve"> Tributário, Forense, Rio, 1990, p. 335).</w:t>
      </w:r>
    </w:p>
    <w:p w:rsidR="009218D5" w:rsidRPr="009218D5" w:rsidRDefault="009218D5" w:rsidP="009218D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 xml:space="preserve">Disponibilizamos </w:t>
      </w:r>
      <w:proofErr w:type="gramStart"/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outras alternativas</w:t>
      </w:r>
      <w:proofErr w:type="gramEnd"/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.</w:t>
      </w:r>
    </w:p>
    <w:p w:rsidR="009218D5" w:rsidRPr="009218D5" w:rsidRDefault="009218D5" w:rsidP="009218D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</w:p>
    <w:p w:rsidR="009218D5" w:rsidRPr="009218D5" w:rsidRDefault="009218D5" w:rsidP="009218D5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 Por fim, seguem ainda alguns esclarecimentos da Receita Federal do Brasil sobre pagamento e parcelamento, solicitados pelo o </w:t>
      </w:r>
      <w:proofErr w:type="spellStart"/>
      <w:proofErr w:type="gramStart"/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Sinescontabil</w:t>
      </w:r>
      <w:proofErr w:type="spellEnd"/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:</w:t>
      </w:r>
      <w:proofErr w:type="gramEnd"/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 xml:space="preserve">   O Decreto </w:t>
      </w:r>
      <w:proofErr w:type="spellStart"/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Nr</w:t>
      </w:r>
      <w:proofErr w:type="spellEnd"/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. 7.574, de 29 de Setembro de 2011, que regulamento o Processo Administrativo Fiscal (PAF), dispõe que: </w:t>
      </w:r>
      <w:proofErr w:type="gramStart"/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"Art. 52.</w:t>
      </w:r>
      <w:proofErr w:type="gramEnd"/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 Será concedida redução de cinquenta por cento do valor da multa de lançamento de ofício ao sujeito passivo que, notificado, efetuar o pagamento ou a compensação do crédito tributário no prazo previsto para apresentar impugnação (</w:t>
      </w:r>
      <w:hyperlink r:id="rId15" w:tgtFrame="_blank" w:history="1">
        <w:r w:rsidRPr="009218D5">
          <w:rPr>
            <w:rFonts w:ascii="Arial" w:eastAsia="Times New Roman" w:hAnsi="Arial" w:cs="Arial"/>
            <w:color w:val="256C89"/>
            <w:sz w:val="27"/>
            <w:szCs w:val="27"/>
            <w:u w:val="single"/>
            <w:lang w:eastAsia="pt-BR"/>
          </w:rPr>
          <w:t>Lei n</w:t>
        </w:r>
        <w:r w:rsidRPr="009218D5">
          <w:rPr>
            <w:rFonts w:ascii="Arial" w:eastAsia="Times New Roman" w:hAnsi="Arial" w:cs="Arial"/>
            <w:color w:val="256C89"/>
            <w:sz w:val="27"/>
            <w:szCs w:val="27"/>
            <w:u w:val="single"/>
            <w:vertAlign w:val="superscript"/>
            <w:lang w:eastAsia="pt-BR"/>
          </w:rPr>
          <w:t>o</w:t>
        </w:r>
        <w:r w:rsidRPr="009218D5">
          <w:rPr>
            <w:rFonts w:ascii="Arial" w:eastAsia="Times New Roman" w:hAnsi="Arial" w:cs="Arial"/>
            <w:color w:val="256C89"/>
            <w:sz w:val="27"/>
            <w:szCs w:val="27"/>
            <w:u w:val="single"/>
            <w:lang w:eastAsia="pt-BR"/>
          </w:rPr>
          <w:t> 8.218, de 1991, art. 6</w:t>
        </w:r>
        <w:r w:rsidRPr="009218D5">
          <w:rPr>
            <w:rFonts w:ascii="Arial" w:eastAsia="Times New Roman" w:hAnsi="Arial" w:cs="Arial"/>
            <w:color w:val="256C89"/>
            <w:sz w:val="27"/>
            <w:szCs w:val="27"/>
            <w:u w:val="single"/>
            <w:vertAlign w:val="superscript"/>
            <w:lang w:eastAsia="pt-BR"/>
          </w:rPr>
          <w:t>o</w:t>
        </w:r>
      </w:hyperlink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, com a redação dada pela Lei n</w:t>
      </w:r>
      <w:r w:rsidRPr="009218D5">
        <w:rPr>
          <w:rFonts w:ascii="Arial" w:eastAsia="Times New Roman" w:hAnsi="Arial" w:cs="Arial"/>
          <w:color w:val="0E4354"/>
          <w:sz w:val="27"/>
          <w:szCs w:val="27"/>
          <w:vertAlign w:val="superscript"/>
          <w:lang w:eastAsia="pt-BR"/>
        </w:rPr>
        <w:t>o</w:t>
      </w: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11.941, de 2009, art. 28; </w:t>
      </w:r>
      <w:hyperlink r:id="rId16" w:tgtFrame="_blank" w:history="1">
        <w:r w:rsidRPr="009218D5">
          <w:rPr>
            <w:rFonts w:ascii="Arial" w:eastAsia="Times New Roman" w:hAnsi="Arial" w:cs="Arial"/>
            <w:color w:val="256C89"/>
            <w:sz w:val="27"/>
            <w:szCs w:val="27"/>
            <w:u w:val="single"/>
            <w:lang w:eastAsia="pt-BR"/>
          </w:rPr>
          <w:t>Lei n</w:t>
        </w:r>
        <w:r w:rsidRPr="009218D5">
          <w:rPr>
            <w:rFonts w:ascii="Arial" w:eastAsia="Times New Roman" w:hAnsi="Arial" w:cs="Arial"/>
            <w:color w:val="256C89"/>
            <w:sz w:val="27"/>
            <w:szCs w:val="27"/>
            <w:u w:val="single"/>
            <w:vertAlign w:val="superscript"/>
            <w:lang w:eastAsia="pt-BR"/>
          </w:rPr>
          <w:t>o</w:t>
        </w:r>
        <w:r w:rsidRPr="009218D5">
          <w:rPr>
            <w:rFonts w:ascii="Arial" w:eastAsia="Times New Roman" w:hAnsi="Arial" w:cs="Arial"/>
            <w:color w:val="256C89"/>
            <w:sz w:val="27"/>
            <w:szCs w:val="27"/>
            <w:u w:val="single"/>
            <w:lang w:eastAsia="pt-BR"/>
          </w:rPr>
          <w:t> 9.430, de 1996, art. 44, § 3</w:t>
        </w:r>
        <w:r w:rsidRPr="009218D5">
          <w:rPr>
            <w:rFonts w:ascii="Arial" w:eastAsia="Times New Roman" w:hAnsi="Arial" w:cs="Arial"/>
            <w:color w:val="256C89"/>
            <w:sz w:val="27"/>
            <w:szCs w:val="27"/>
            <w:u w:val="single"/>
            <w:vertAlign w:val="superscript"/>
            <w:lang w:eastAsia="pt-BR"/>
          </w:rPr>
          <w:t>o</w:t>
        </w:r>
      </w:hyperlink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). § 1</w:t>
      </w:r>
      <w:r w:rsidRPr="009218D5">
        <w:rPr>
          <w:rFonts w:ascii="Arial" w:eastAsia="Times New Roman" w:hAnsi="Arial" w:cs="Arial"/>
          <w:color w:val="0E4354"/>
          <w:sz w:val="27"/>
          <w:szCs w:val="27"/>
          <w:vertAlign w:val="superscript"/>
          <w:lang w:eastAsia="pt-BR"/>
        </w:rPr>
        <w:t>o</w:t>
      </w: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 Apresentada impugnação tempestivamente, a redução será de trinta por cento se o pagamento ou a compensação forem efetuados no prazo de trinta dias, contados da data da ciência da decisão de primeira instância (</w:t>
      </w:r>
      <w:hyperlink r:id="rId17" w:tgtFrame="_blank" w:history="1">
        <w:r w:rsidRPr="009218D5">
          <w:rPr>
            <w:rFonts w:ascii="Arial" w:eastAsia="Times New Roman" w:hAnsi="Arial" w:cs="Arial"/>
            <w:color w:val="256C89"/>
            <w:sz w:val="27"/>
            <w:szCs w:val="27"/>
            <w:u w:val="single"/>
            <w:lang w:eastAsia="pt-BR"/>
          </w:rPr>
          <w:t>Lei n</w:t>
        </w:r>
        <w:r w:rsidRPr="009218D5">
          <w:rPr>
            <w:rFonts w:ascii="Arial" w:eastAsia="Times New Roman" w:hAnsi="Arial" w:cs="Arial"/>
            <w:color w:val="256C89"/>
            <w:sz w:val="27"/>
            <w:szCs w:val="27"/>
            <w:u w:val="single"/>
            <w:vertAlign w:val="superscript"/>
            <w:lang w:eastAsia="pt-BR"/>
          </w:rPr>
          <w:t>o</w:t>
        </w:r>
        <w:r w:rsidRPr="009218D5">
          <w:rPr>
            <w:rFonts w:ascii="Arial" w:eastAsia="Times New Roman" w:hAnsi="Arial" w:cs="Arial"/>
            <w:color w:val="256C89"/>
            <w:sz w:val="27"/>
            <w:szCs w:val="27"/>
            <w:u w:val="single"/>
            <w:lang w:eastAsia="pt-BR"/>
          </w:rPr>
          <w:t> 8.218, de 1991, art. 6</w:t>
        </w:r>
        <w:r w:rsidRPr="009218D5">
          <w:rPr>
            <w:rFonts w:ascii="Arial" w:eastAsia="Times New Roman" w:hAnsi="Arial" w:cs="Arial"/>
            <w:color w:val="256C89"/>
            <w:sz w:val="27"/>
            <w:szCs w:val="27"/>
            <w:u w:val="single"/>
            <w:vertAlign w:val="superscript"/>
            <w:lang w:eastAsia="pt-BR"/>
          </w:rPr>
          <w:t>o</w:t>
        </w:r>
        <w:r w:rsidRPr="009218D5">
          <w:rPr>
            <w:rFonts w:ascii="Arial" w:eastAsia="Times New Roman" w:hAnsi="Arial" w:cs="Arial"/>
            <w:color w:val="256C89"/>
            <w:sz w:val="27"/>
            <w:szCs w:val="27"/>
            <w:u w:val="single"/>
            <w:lang w:eastAsia="pt-BR"/>
          </w:rPr>
          <w:t>, inciso III</w:t>
        </w:r>
      </w:hyperlink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, com a redação dada pela Lei n</w:t>
      </w:r>
      <w:r w:rsidRPr="009218D5">
        <w:rPr>
          <w:rFonts w:ascii="Arial" w:eastAsia="Times New Roman" w:hAnsi="Arial" w:cs="Arial"/>
          <w:color w:val="0E4354"/>
          <w:sz w:val="27"/>
          <w:szCs w:val="27"/>
          <w:vertAlign w:val="superscript"/>
          <w:lang w:eastAsia="pt-BR"/>
        </w:rPr>
        <w:t>o</w:t>
      </w: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11.941, de 2009, art. 28; </w:t>
      </w:r>
      <w:hyperlink r:id="rId18" w:tgtFrame="_blank" w:history="1">
        <w:r w:rsidRPr="009218D5">
          <w:rPr>
            <w:rFonts w:ascii="Arial" w:eastAsia="Times New Roman" w:hAnsi="Arial" w:cs="Arial"/>
            <w:color w:val="256C89"/>
            <w:sz w:val="27"/>
            <w:szCs w:val="27"/>
            <w:u w:val="single"/>
            <w:lang w:eastAsia="pt-BR"/>
          </w:rPr>
          <w:t>Lei n</w:t>
        </w:r>
        <w:r w:rsidRPr="009218D5">
          <w:rPr>
            <w:rFonts w:ascii="Arial" w:eastAsia="Times New Roman" w:hAnsi="Arial" w:cs="Arial"/>
            <w:color w:val="256C89"/>
            <w:sz w:val="27"/>
            <w:szCs w:val="27"/>
            <w:u w:val="single"/>
            <w:vertAlign w:val="superscript"/>
            <w:lang w:eastAsia="pt-BR"/>
          </w:rPr>
          <w:t>o</w:t>
        </w:r>
        <w:r w:rsidRPr="009218D5">
          <w:rPr>
            <w:rFonts w:ascii="Arial" w:eastAsia="Times New Roman" w:hAnsi="Arial" w:cs="Arial"/>
            <w:color w:val="256C89"/>
            <w:sz w:val="27"/>
            <w:szCs w:val="27"/>
            <w:u w:val="single"/>
            <w:lang w:eastAsia="pt-BR"/>
          </w:rPr>
          <w:t> 9.430, de 1996, art. 44, § 3</w:t>
        </w:r>
        <w:r w:rsidRPr="009218D5">
          <w:rPr>
            <w:rFonts w:ascii="Arial" w:eastAsia="Times New Roman" w:hAnsi="Arial" w:cs="Arial"/>
            <w:color w:val="256C89"/>
            <w:sz w:val="27"/>
            <w:szCs w:val="27"/>
            <w:u w:val="single"/>
            <w:vertAlign w:val="superscript"/>
            <w:lang w:eastAsia="pt-BR"/>
          </w:rPr>
          <w:t>o</w:t>
        </w:r>
      </w:hyperlink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). § 2</w:t>
      </w:r>
      <w:r w:rsidRPr="009218D5">
        <w:rPr>
          <w:rFonts w:ascii="Arial" w:eastAsia="Times New Roman" w:hAnsi="Arial" w:cs="Arial"/>
          <w:color w:val="0E4354"/>
          <w:sz w:val="27"/>
          <w:szCs w:val="27"/>
          <w:vertAlign w:val="superscript"/>
          <w:lang w:eastAsia="pt-BR"/>
        </w:rPr>
        <w:t>o</w:t>
      </w: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 No caso de provimento a recurso de ofício interposto pela autoridade julgadora de primeira instância, será aplicada a redução de trinta por cento se o pagamento ou a compensação for efetuado no prazo de trinta dias contados da ciência da decisão (</w:t>
      </w:r>
      <w:hyperlink r:id="rId19" w:tgtFrame="_blank" w:history="1">
        <w:r w:rsidRPr="009218D5">
          <w:rPr>
            <w:rFonts w:ascii="Arial" w:eastAsia="Times New Roman" w:hAnsi="Arial" w:cs="Arial"/>
            <w:color w:val="256C89"/>
            <w:sz w:val="27"/>
            <w:szCs w:val="27"/>
            <w:u w:val="single"/>
            <w:lang w:eastAsia="pt-BR"/>
          </w:rPr>
          <w:t>Lei n</w:t>
        </w:r>
        <w:r w:rsidRPr="009218D5">
          <w:rPr>
            <w:rFonts w:ascii="Arial" w:eastAsia="Times New Roman" w:hAnsi="Arial" w:cs="Arial"/>
            <w:color w:val="256C89"/>
            <w:sz w:val="27"/>
            <w:szCs w:val="27"/>
            <w:u w:val="single"/>
            <w:vertAlign w:val="superscript"/>
            <w:lang w:eastAsia="pt-BR"/>
          </w:rPr>
          <w:t>o</w:t>
        </w:r>
        <w:r w:rsidRPr="009218D5">
          <w:rPr>
            <w:rFonts w:ascii="Arial" w:eastAsia="Times New Roman" w:hAnsi="Arial" w:cs="Arial"/>
            <w:color w:val="256C89"/>
            <w:sz w:val="27"/>
            <w:szCs w:val="27"/>
            <w:u w:val="single"/>
            <w:lang w:eastAsia="pt-BR"/>
          </w:rPr>
          <w:t> 8.218, de 1991, art. 6</w:t>
        </w:r>
        <w:r w:rsidRPr="009218D5">
          <w:rPr>
            <w:rFonts w:ascii="Arial" w:eastAsia="Times New Roman" w:hAnsi="Arial" w:cs="Arial"/>
            <w:color w:val="256C89"/>
            <w:sz w:val="27"/>
            <w:szCs w:val="27"/>
            <w:u w:val="single"/>
            <w:vertAlign w:val="superscript"/>
            <w:lang w:eastAsia="pt-BR"/>
          </w:rPr>
          <w:t>o</w:t>
        </w:r>
        <w:r w:rsidRPr="009218D5">
          <w:rPr>
            <w:rFonts w:ascii="Arial" w:eastAsia="Times New Roman" w:hAnsi="Arial" w:cs="Arial"/>
            <w:color w:val="256C89"/>
            <w:sz w:val="27"/>
            <w:szCs w:val="27"/>
            <w:u w:val="single"/>
            <w:lang w:eastAsia="pt-BR"/>
          </w:rPr>
          <w:t>, § 1</w:t>
        </w:r>
        <w:r w:rsidRPr="009218D5">
          <w:rPr>
            <w:rFonts w:ascii="Arial" w:eastAsia="Times New Roman" w:hAnsi="Arial" w:cs="Arial"/>
            <w:color w:val="256C89"/>
            <w:sz w:val="27"/>
            <w:szCs w:val="27"/>
            <w:u w:val="single"/>
            <w:vertAlign w:val="superscript"/>
            <w:lang w:eastAsia="pt-BR"/>
          </w:rPr>
          <w:t>o</w:t>
        </w:r>
      </w:hyperlink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, com a redação dada pela Lei n</w:t>
      </w:r>
      <w:r w:rsidRPr="009218D5">
        <w:rPr>
          <w:rFonts w:ascii="Arial" w:eastAsia="Times New Roman" w:hAnsi="Arial" w:cs="Arial"/>
          <w:color w:val="0E4354"/>
          <w:sz w:val="27"/>
          <w:szCs w:val="27"/>
          <w:vertAlign w:val="superscript"/>
          <w:lang w:eastAsia="pt-BR"/>
        </w:rPr>
        <w:t>o</w:t>
      </w: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 xml:space="preserve"> 11.941, de 2009, art. 28). Art. 53.  Será concedida redução de quarenta por cento do valor da multa de lançamento de ofício, ao sujeito passivo que, notificado, requerer o parcelamento do crédito </w:t>
      </w:r>
      <w:proofErr w:type="gramStart"/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tributário</w:t>
      </w:r>
      <w:proofErr w:type="gramEnd"/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 xml:space="preserve"> no prazo previsto para apresentar impugnação (</w:t>
      </w:r>
      <w:hyperlink r:id="rId20" w:tgtFrame="_blank" w:history="1">
        <w:r w:rsidRPr="009218D5">
          <w:rPr>
            <w:rFonts w:ascii="Arial" w:eastAsia="Times New Roman" w:hAnsi="Arial" w:cs="Arial"/>
            <w:color w:val="256C89"/>
            <w:sz w:val="27"/>
            <w:szCs w:val="27"/>
            <w:u w:val="single"/>
            <w:lang w:eastAsia="pt-BR"/>
          </w:rPr>
          <w:t>Lei n</w:t>
        </w:r>
        <w:r w:rsidRPr="009218D5">
          <w:rPr>
            <w:rFonts w:ascii="Arial" w:eastAsia="Times New Roman" w:hAnsi="Arial" w:cs="Arial"/>
            <w:color w:val="256C89"/>
            <w:sz w:val="27"/>
            <w:szCs w:val="27"/>
            <w:u w:val="single"/>
            <w:vertAlign w:val="superscript"/>
            <w:lang w:eastAsia="pt-BR"/>
          </w:rPr>
          <w:t>o</w:t>
        </w:r>
        <w:r w:rsidRPr="009218D5">
          <w:rPr>
            <w:rFonts w:ascii="Arial" w:eastAsia="Times New Roman" w:hAnsi="Arial" w:cs="Arial"/>
            <w:color w:val="256C89"/>
            <w:sz w:val="27"/>
            <w:szCs w:val="27"/>
            <w:u w:val="single"/>
            <w:lang w:eastAsia="pt-BR"/>
          </w:rPr>
          <w:t> 8.218, de 1991, art. 6</w:t>
        </w:r>
        <w:r w:rsidRPr="009218D5">
          <w:rPr>
            <w:rFonts w:ascii="Arial" w:eastAsia="Times New Roman" w:hAnsi="Arial" w:cs="Arial"/>
            <w:color w:val="256C89"/>
            <w:sz w:val="27"/>
            <w:szCs w:val="27"/>
            <w:u w:val="single"/>
            <w:vertAlign w:val="superscript"/>
            <w:lang w:eastAsia="pt-BR"/>
          </w:rPr>
          <w:t>o</w:t>
        </w:r>
        <w:r w:rsidRPr="009218D5">
          <w:rPr>
            <w:rFonts w:ascii="Arial" w:eastAsia="Times New Roman" w:hAnsi="Arial" w:cs="Arial"/>
            <w:color w:val="256C89"/>
            <w:sz w:val="27"/>
            <w:szCs w:val="27"/>
            <w:u w:val="single"/>
            <w:lang w:eastAsia="pt-BR"/>
          </w:rPr>
          <w:t>, inciso II</w:t>
        </w:r>
      </w:hyperlink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, com a redação dada pela Lei n</w:t>
      </w:r>
      <w:r w:rsidRPr="009218D5">
        <w:rPr>
          <w:rFonts w:ascii="Arial" w:eastAsia="Times New Roman" w:hAnsi="Arial" w:cs="Arial"/>
          <w:color w:val="0E4354"/>
          <w:sz w:val="27"/>
          <w:szCs w:val="27"/>
          <w:vertAlign w:val="superscript"/>
          <w:lang w:eastAsia="pt-BR"/>
        </w:rPr>
        <w:t>o</w:t>
      </w: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11.941, de 2009, art. 28; </w:t>
      </w:r>
      <w:hyperlink r:id="rId21" w:tgtFrame="_blank" w:history="1">
        <w:r w:rsidRPr="009218D5">
          <w:rPr>
            <w:rFonts w:ascii="Arial" w:eastAsia="Times New Roman" w:hAnsi="Arial" w:cs="Arial"/>
            <w:color w:val="256C89"/>
            <w:sz w:val="27"/>
            <w:szCs w:val="27"/>
            <w:u w:val="single"/>
            <w:lang w:eastAsia="pt-BR"/>
          </w:rPr>
          <w:t>Lei n</w:t>
        </w:r>
        <w:r w:rsidRPr="009218D5">
          <w:rPr>
            <w:rFonts w:ascii="Arial" w:eastAsia="Times New Roman" w:hAnsi="Arial" w:cs="Arial"/>
            <w:color w:val="256C89"/>
            <w:sz w:val="27"/>
            <w:szCs w:val="27"/>
            <w:u w:val="single"/>
            <w:vertAlign w:val="superscript"/>
            <w:lang w:eastAsia="pt-BR"/>
          </w:rPr>
          <w:t>o</w:t>
        </w:r>
        <w:r w:rsidRPr="009218D5">
          <w:rPr>
            <w:rFonts w:ascii="Arial" w:eastAsia="Times New Roman" w:hAnsi="Arial" w:cs="Arial"/>
            <w:color w:val="256C89"/>
            <w:sz w:val="27"/>
            <w:szCs w:val="27"/>
            <w:u w:val="single"/>
            <w:lang w:eastAsia="pt-BR"/>
          </w:rPr>
          <w:t> 9.430, de 1996, art. 44, § 3</w:t>
        </w:r>
        <w:r w:rsidRPr="009218D5">
          <w:rPr>
            <w:rFonts w:ascii="Arial" w:eastAsia="Times New Roman" w:hAnsi="Arial" w:cs="Arial"/>
            <w:color w:val="256C89"/>
            <w:sz w:val="27"/>
            <w:szCs w:val="27"/>
            <w:u w:val="single"/>
            <w:vertAlign w:val="superscript"/>
            <w:lang w:eastAsia="pt-BR"/>
          </w:rPr>
          <w:t>o</w:t>
        </w:r>
      </w:hyperlink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). § 1</w:t>
      </w:r>
      <w:r w:rsidRPr="009218D5">
        <w:rPr>
          <w:rFonts w:ascii="Arial" w:eastAsia="Times New Roman" w:hAnsi="Arial" w:cs="Arial"/>
          <w:color w:val="0E4354"/>
          <w:sz w:val="27"/>
          <w:szCs w:val="27"/>
          <w:vertAlign w:val="superscript"/>
          <w:lang w:eastAsia="pt-BR"/>
        </w:rPr>
        <w:t>o</w:t>
      </w: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 Apresentada impugnação tempestivamente, a redução será de vinte por cento se o parcelamento for requerido no prazo de trinta dias, contados da data da ciência da decisão de primeira instância (</w:t>
      </w:r>
      <w:hyperlink r:id="rId22" w:tgtFrame="_blank" w:history="1">
        <w:r w:rsidRPr="009218D5">
          <w:rPr>
            <w:rFonts w:ascii="Arial" w:eastAsia="Times New Roman" w:hAnsi="Arial" w:cs="Arial"/>
            <w:color w:val="256C89"/>
            <w:sz w:val="27"/>
            <w:szCs w:val="27"/>
            <w:u w:val="single"/>
            <w:lang w:eastAsia="pt-BR"/>
          </w:rPr>
          <w:t>Lei n</w:t>
        </w:r>
        <w:r w:rsidRPr="009218D5">
          <w:rPr>
            <w:rFonts w:ascii="Arial" w:eastAsia="Times New Roman" w:hAnsi="Arial" w:cs="Arial"/>
            <w:color w:val="256C89"/>
            <w:sz w:val="27"/>
            <w:szCs w:val="27"/>
            <w:u w:val="single"/>
            <w:vertAlign w:val="superscript"/>
            <w:lang w:eastAsia="pt-BR"/>
          </w:rPr>
          <w:t>o</w:t>
        </w:r>
        <w:r w:rsidRPr="009218D5">
          <w:rPr>
            <w:rFonts w:ascii="Arial" w:eastAsia="Times New Roman" w:hAnsi="Arial" w:cs="Arial"/>
            <w:color w:val="256C89"/>
            <w:sz w:val="27"/>
            <w:szCs w:val="27"/>
            <w:u w:val="single"/>
            <w:lang w:eastAsia="pt-BR"/>
          </w:rPr>
          <w:t>8.218, de 1991, art. 6</w:t>
        </w:r>
        <w:r w:rsidRPr="009218D5">
          <w:rPr>
            <w:rFonts w:ascii="Arial" w:eastAsia="Times New Roman" w:hAnsi="Arial" w:cs="Arial"/>
            <w:color w:val="256C89"/>
            <w:sz w:val="27"/>
            <w:szCs w:val="27"/>
            <w:u w:val="single"/>
            <w:vertAlign w:val="superscript"/>
            <w:lang w:eastAsia="pt-BR"/>
          </w:rPr>
          <w:t>o</w:t>
        </w:r>
        <w:r w:rsidRPr="009218D5">
          <w:rPr>
            <w:rFonts w:ascii="Arial" w:eastAsia="Times New Roman" w:hAnsi="Arial" w:cs="Arial"/>
            <w:color w:val="256C89"/>
            <w:sz w:val="27"/>
            <w:szCs w:val="27"/>
            <w:u w:val="single"/>
            <w:lang w:eastAsia="pt-BR"/>
          </w:rPr>
          <w:t>, inciso IV</w:t>
        </w:r>
      </w:hyperlink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, com a redação dada pela Lei n</w:t>
      </w:r>
      <w:r w:rsidRPr="009218D5">
        <w:rPr>
          <w:rFonts w:ascii="Arial" w:eastAsia="Times New Roman" w:hAnsi="Arial" w:cs="Arial"/>
          <w:color w:val="0E4354"/>
          <w:sz w:val="27"/>
          <w:szCs w:val="27"/>
          <w:vertAlign w:val="superscript"/>
          <w:lang w:eastAsia="pt-BR"/>
        </w:rPr>
        <w:t>o</w:t>
      </w: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11.941, de 2009, art. 28; </w:t>
      </w:r>
      <w:hyperlink r:id="rId23" w:tgtFrame="_blank" w:history="1">
        <w:r w:rsidRPr="009218D5">
          <w:rPr>
            <w:rFonts w:ascii="Arial" w:eastAsia="Times New Roman" w:hAnsi="Arial" w:cs="Arial"/>
            <w:color w:val="256C89"/>
            <w:sz w:val="27"/>
            <w:szCs w:val="27"/>
            <w:u w:val="single"/>
            <w:lang w:eastAsia="pt-BR"/>
          </w:rPr>
          <w:t>Lei n</w:t>
        </w:r>
        <w:r w:rsidRPr="009218D5">
          <w:rPr>
            <w:rFonts w:ascii="Arial" w:eastAsia="Times New Roman" w:hAnsi="Arial" w:cs="Arial"/>
            <w:color w:val="256C89"/>
            <w:sz w:val="27"/>
            <w:szCs w:val="27"/>
            <w:u w:val="single"/>
            <w:vertAlign w:val="superscript"/>
            <w:lang w:eastAsia="pt-BR"/>
          </w:rPr>
          <w:t>o</w:t>
        </w:r>
        <w:r w:rsidRPr="009218D5">
          <w:rPr>
            <w:rFonts w:ascii="Arial" w:eastAsia="Times New Roman" w:hAnsi="Arial" w:cs="Arial"/>
            <w:color w:val="256C89"/>
            <w:sz w:val="27"/>
            <w:szCs w:val="27"/>
            <w:u w:val="single"/>
            <w:lang w:eastAsia="pt-BR"/>
          </w:rPr>
          <w:t> 9.430, de 1996, art. 44, § 3</w:t>
        </w:r>
        <w:r w:rsidRPr="009218D5">
          <w:rPr>
            <w:rFonts w:ascii="Arial" w:eastAsia="Times New Roman" w:hAnsi="Arial" w:cs="Arial"/>
            <w:color w:val="256C89"/>
            <w:sz w:val="27"/>
            <w:szCs w:val="27"/>
            <w:u w:val="single"/>
            <w:vertAlign w:val="superscript"/>
            <w:lang w:eastAsia="pt-BR"/>
          </w:rPr>
          <w:t>o</w:t>
        </w:r>
      </w:hyperlink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). § 2</w:t>
      </w:r>
      <w:r w:rsidRPr="009218D5">
        <w:rPr>
          <w:rFonts w:ascii="Arial" w:eastAsia="Times New Roman" w:hAnsi="Arial" w:cs="Arial"/>
          <w:color w:val="0E4354"/>
          <w:sz w:val="27"/>
          <w:szCs w:val="27"/>
          <w:vertAlign w:val="superscript"/>
          <w:lang w:eastAsia="pt-BR"/>
        </w:rPr>
        <w:t>o</w:t>
      </w: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 No caso de provimento a recurso de ofício interposto pela autoridade julgadora de primeira instância, será aplicada a redução de vinte por cento se o parcelamento for requerido no prazo de trinta dias contados da ciência da decisão (</w:t>
      </w:r>
      <w:hyperlink r:id="rId24" w:tgtFrame="_blank" w:history="1">
        <w:r w:rsidRPr="009218D5">
          <w:rPr>
            <w:rFonts w:ascii="Arial" w:eastAsia="Times New Roman" w:hAnsi="Arial" w:cs="Arial"/>
            <w:color w:val="256C89"/>
            <w:sz w:val="27"/>
            <w:szCs w:val="27"/>
            <w:u w:val="single"/>
            <w:lang w:eastAsia="pt-BR"/>
          </w:rPr>
          <w:t>Lei n</w:t>
        </w:r>
        <w:r w:rsidRPr="009218D5">
          <w:rPr>
            <w:rFonts w:ascii="Arial" w:eastAsia="Times New Roman" w:hAnsi="Arial" w:cs="Arial"/>
            <w:color w:val="256C89"/>
            <w:sz w:val="27"/>
            <w:szCs w:val="27"/>
            <w:u w:val="single"/>
            <w:vertAlign w:val="superscript"/>
            <w:lang w:eastAsia="pt-BR"/>
          </w:rPr>
          <w:t>o</w:t>
        </w:r>
        <w:r w:rsidRPr="009218D5">
          <w:rPr>
            <w:rFonts w:ascii="Arial" w:eastAsia="Times New Roman" w:hAnsi="Arial" w:cs="Arial"/>
            <w:color w:val="256C89"/>
            <w:sz w:val="27"/>
            <w:szCs w:val="27"/>
            <w:u w:val="single"/>
            <w:lang w:eastAsia="pt-BR"/>
          </w:rPr>
          <w:t> 8.218, de 1991, art. 6</w:t>
        </w:r>
        <w:r w:rsidRPr="009218D5">
          <w:rPr>
            <w:rFonts w:ascii="Arial" w:eastAsia="Times New Roman" w:hAnsi="Arial" w:cs="Arial"/>
            <w:color w:val="256C89"/>
            <w:sz w:val="27"/>
            <w:szCs w:val="27"/>
            <w:u w:val="single"/>
            <w:vertAlign w:val="superscript"/>
            <w:lang w:eastAsia="pt-BR"/>
          </w:rPr>
          <w:t>o</w:t>
        </w:r>
        <w:r w:rsidRPr="009218D5">
          <w:rPr>
            <w:rFonts w:ascii="Arial" w:eastAsia="Times New Roman" w:hAnsi="Arial" w:cs="Arial"/>
            <w:color w:val="256C89"/>
            <w:sz w:val="27"/>
            <w:szCs w:val="27"/>
            <w:u w:val="single"/>
            <w:lang w:eastAsia="pt-BR"/>
          </w:rPr>
          <w:t>, § 1</w:t>
        </w:r>
        <w:r w:rsidRPr="009218D5">
          <w:rPr>
            <w:rFonts w:ascii="Arial" w:eastAsia="Times New Roman" w:hAnsi="Arial" w:cs="Arial"/>
            <w:color w:val="256C89"/>
            <w:sz w:val="27"/>
            <w:szCs w:val="27"/>
            <w:u w:val="single"/>
            <w:vertAlign w:val="superscript"/>
            <w:lang w:eastAsia="pt-BR"/>
          </w:rPr>
          <w:t>o</w:t>
        </w:r>
      </w:hyperlink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, com a redação dada pela Lei n</w:t>
      </w:r>
      <w:r w:rsidRPr="009218D5">
        <w:rPr>
          <w:rFonts w:ascii="Arial" w:eastAsia="Times New Roman" w:hAnsi="Arial" w:cs="Arial"/>
          <w:color w:val="0E4354"/>
          <w:sz w:val="27"/>
          <w:szCs w:val="27"/>
          <w:vertAlign w:val="superscript"/>
          <w:lang w:eastAsia="pt-BR"/>
        </w:rPr>
        <w:t>o</w:t>
      </w: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11.941, de 2009, art. 28). § 3</w:t>
      </w:r>
      <w:r w:rsidRPr="009218D5">
        <w:rPr>
          <w:rFonts w:ascii="Arial" w:eastAsia="Times New Roman" w:hAnsi="Arial" w:cs="Arial"/>
          <w:color w:val="0E4354"/>
          <w:sz w:val="27"/>
          <w:szCs w:val="27"/>
          <w:vertAlign w:val="superscript"/>
          <w:lang w:eastAsia="pt-BR"/>
        </w:rPr>
        <w:t>o</w:t>
      </w: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 A rescisão do parcelamento, motivada pelo descumprimento das normas que o regulam, implicará restabelecimento do montante da multa proporcionalmente ao valor da receita não satisfeita e que exceder o valor obtido com a garantia apresentada (</w:t>
      </w:r>
      <w:hyperlink r:id="rId25" w:tgtFrame="_blank" w:history="1">
        <w:r w:rsidRPr="009218D5">
          <w:rPr>
            <w:rFonts w:ascii="Arial" w:eastAsia="Times New Roman" w:hAnsi="Arial" w:cs="Arial"/>
            <w:color w:val="256C89"/>
            <w:sz w:val="27"/>
            <w:szCs w:val="27"/>
            <w:u w:val="single"/>
            <w:lang w:eastAsia="pt-BR"/>
          </w:rPr>
          <w:t>Lei n</w:t>
        </w:r>
        <w:r w:rsidRPr="009218D5">
          <w:rPr>
            <w:rFonts w:ascii="Arial" w:eastAsia="Times New Roman" w:hAnsi="Arial" w:cs="Arial"/>
            <w:color w:val="256C89"/>
            <w:sz w:val="27"/>
            <w:szCs w:val="27"/>
            <w:u w:val="single"/>
            <w:vertAlign w:val="superscript"/>
            <w:lang w:eastAsia="pt-BR"/>
          </w:rPr>
          <w:t>o</w:t>
        </w:r>
        <w:r w:rsidRPr="009218D5">
          <w:rPr>
            <w:rFonts w:ascii="Arial" w:eastAsia="Times New Roman" w:hAnsi="Arial" w:cs="Arial"/>
            <w:color w:val="256C89"/>
            <w:sz w:val="27"/>
            <w:szCs w:val="27"/>
            <w:u w:val="single"/>
            <w:lang w:eastAsia="pt-BR"/>
          </w:rPr>
          <w:t> 8.218, de 1991, art. 6</w:t>
        </w:r>
        <w:r w:rsidRPr="009218D5">
          <w:rPr>
            <w:rFonts w:ascii="Arial" w:eastAsia="Times New Roman" w:hAnsi="Arial" w:cs="Arial"/>
            <w:color w:val="256C89"/>
            <w:sz w:val="27"/>
            <w:szCs w:val="27"/>
            <w:u w:val="single"/>
            <w:vertAlign w:val="superscript"/>
            <w:lang w:eastAsia="pt-BR"/>
          </w:rPr>
          <w:t>o</w:t>
        </w:r>
        <w:r w:rsidRPr="009218D5">
          <w:rPr>
            <w:rFonts w:ascii="Arial" w:eastAsia="Times New Roman" w:hAnsi="Arial" w:cs="Arial"/>
            <w:color w:val="256C89"/>
            <w:sz w:val="27"/>
            <w:szCs w:val="27"/>
            <w:u w:val="single"/>
            <w:lang w:eastAsia="pt-BR"/>
          </w:rPr>
          <w:t>, § 2</w:t>
        </w:r>
        <w:r w:rsidRPr="009218D5">
          <w:rPr>
            <w:rFonts w:ascii="Arial" w:eastAsia="Times New Roman" w:hAnsi="Arial" w:cs="Arial"/>
            <w:color w:val="256C89"/>
            <w:sz w:val="27"/>
            <w:szCs w:val="27"/>
            <w:u w:val="single"/>
            <w:vertAlign w:val="superscript"/>
            <w:lang w:eastAsia="pt-BR"/>
          </w:rPr>
          <w:t>o</w:t>
        </w:r>
      </w:hyperlink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, com a redação dada pela Lei n</w:t>
      </w:r>
      <w:r w:rsidRPr="009218D5">
        <w:rPr>
          <w:rFonts w:ascii="Arial" w:eastAsia="Times New Roman" w:hAnsi="Arial" w:cs="Arial"/>
          <w:color w:val="0E4354"/>
          <w:sz w:val="27"/>
          <w:szCs w:val="27"/>
          <w:vertAlign w:val="superscript"/>
          <w:lang w:eastAsia="pt-BR"/>
        </w:rPr>
        <w:t>o</w:t>
      </w: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 xml:space="preserve"> 11.941, de 2009, art. 28).“ Em </w:t>
      </w:r>
      <w:proofErr w:type="gramStart"/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resumo</w:t>
      </w:r>
      <w:proofErr w:type="gramEnd"/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 xml:space="preserve">, o Decreto 7.574, oferece as seguintes reduções relativas a </w:t>
      </w: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lastRenderedPageBreak/>
        <w:t>multa de ofício aplicada: - 50%: se for efetuado o pagamento ou a compensação no prazo de 30 dias, contados da data em que o sujeito passivo foi notificado do lançamento. - 40%: se o sujeito passivo requerer o parcelamento no prazo de 30 dias, contados da data em que foi notificado do lançamento. - 30%: se for efetuado o pagamento ou a compensação no prazo de 30 dias, contados da data em que o sujeito passivo foi notificado da decisão administrativa de primeira instância. - 20%: se o sujeito passivo requerer o parcelamento no prazo de 30 dias, contados da data em que foi notificado da decisão administrativa de primeira instância.  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 xml:space="preserve">O </w:t>
      </w:r>
      <w:proofErr w:type="spellStart"/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Sinescontabil</w:t>
      </w:r>
      <w:proofErr w:type="spellEnd"/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tem recebido, nos últimos dias, diversos contatos telefônicos e por e-mail reclamando da aplicação, pela Receita Federal do Brasil, de multas por entrega fora do prazo da GFIP, relativas ao ano de 2010.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 xml:space="preserve">Em 19 de janeiro de 2015 foi editada a Lei 13.079, que em seus artigos 48, 49 e 50 </w:t>
      </w:r>
      <w:proofErr w:type="gramStart"/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estabelece</w:t>
      </w:r>
      <w:proofErr w:type="gramEnd"/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 xml:space="preserve"> anistia para multas aplicadas, porém não alcançou a todos. O </w:t>
      </w:r>
      <w:proofErr w:type="spellStart"/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Sinescontabil</w:t>
      </w:r>
      <w:proofErr w:type="spellEnd"/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orienta a todos que analisem as multas recebidas, para se enquadrando nos artigos acima mencionados, entrem em contato com a Receita Federal do Brasil para impugnação das mesmas.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 xml:space="preserve">Vejamos o que diz a consultoria jurídica especializada do </w:t>
      </w:r>
      <w:proofErr w:type="spellStart"/>
      <w:proofErr w:type="gramStart"/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Sinescontabil</w:t>
      </w:r>
      <w:proofErr w:type="spellEnd"/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 :</w:t>
      </w:r>
      <w:proofErr w:type="gramEnd"/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i/>
          <w:iCs/>
          <w:color w:val="0E4354"/>
          <w:sz w:val="27"/>
          <w:szCs w:val="27"/>
          <w:lang w:eastAsia="pt-BR"/>
        </w:rPr>
        <w:t xml:space="preserve">Trata-se, no caso, de atraso na entrega da GFIP, que será anistiado se a declaração foi apresentada até o último dia do mês seguinte àquele em que era devida. Por exemplo: se a declaração referente à competência abril de 2015, que deveria ter sido apresentada em maio de 2015, foi entregue até 30.06.14, há dispensa da multa. Ocorre que o texto limita o benefício às multas “lançadas até a publicação desta Lei”, ou seja, lançadas até 20 de janeiro de 2015. Assim, o que importa não é a data do fato gerador da multa (o atraso em determinado mês), mas a data do seu efetivo lançamento no sistema </w:t>
      </w:r>
      <w:r w:rsidRPr="009218D5">
        <w:rPr>
          <w:rFonts w:ascii="Arial" w:eastAsia="Times New Roman" w:hAnsi="Arial" w:cs="Arial"/>
          <w:i/>
          <w:iCs/>
          <w:color w:val="0E4354"/>
          <w:sz w:val="27"/>
          <w:szCs w:val="27"/>
          <w:lang w:eastAsia="pt-BR"/>
        </w:rPr>
        <w:lastRenderedPageBreak/>
        <w:t>da Receita Federal, ainda que a notificação somente ocorra depois. Exemplificando: i)</w:t>
      </w:r>
      <w:proofErr w:type="gramStart"/>
      <w:r w:rsidRPr="009218D5">
        <w:rPr>
          <w:rFonts w:ascii="Arial" w:eastAsia="Times New Roman" w:hAnsi="Arial" w:cs="Arial"/>
          <w:i/>
          <w:iCs/>
          <w:color w:val="0E4354"/>
          <w:sz w:val="27"/>
          <w:szCs w:val="27"/>
          <w:lang w:eastAsia="pt-BR"/>
        </w:rPr>
        <w:t xml:space="preserve">  </w:t>
      </w:r>
      <w:proofErr w:type="gramEnd"/>
      <w:r w:rsidRPr="009218D5">
        <w:rPr>
          <w:rFonts w:ascii="Arial" w:eastAsia="Times New Roman" w:hAnsi="Arial" w:cs="Arial"/>
          <w:i/>
          <w:iCs/>
          <w:color w:val="0E4354"/>
          <w:sz w:val="27"/>
          <w:szCs w:val="27"/>
          <w:lang w:eastAsia="pt-BR"/>
        </w:rPr>
        <w:t xml:space="preserve">multa lançada e notificada ao contribuinte até 20.01.15 – é alcançada pela anistia; </w:t>
      </w:r>
      <w:proofErr w:type="spellStart"/>
      <w:r w:rsidRPr="009218D5">
        <w:rPr>
          <w:rFonts w:ascii="Arial" w:eastAsia="Times New Roman" w:hAnsi="Arial" w:cs="Arial"/>
          <w:i/>
          <w:iCs/>
          <w:color w:val="0E4354"/>
          <w:sz w:val="27"/>
          <w:szCs w:val="27"/>
          <w:lang w:eastAsia="pt-BR"/>
        </w:rPr>
        <w:t>ii</w:t>
      </w:r>
      <w:proofErr w:type="spellEnd"/>
      <w:r w:rsidRPr="009218D5">
        <w:rPr>
          <w:rFonts w:ascii="Arial" w:eastAsia="Times New Roman" w:hAnsi="Arial" w:cs="Arial"/>
          <w:i/>
          <w:iCs/>
          <w:color w:val="0E4354"/>
          <w:sz w:val="27"/>
          <w:szCs w:val="27"/>
          <w:lang w:eastAsia="pt-BR"/>
        </w:rPr>
        <w:t xml:space="preserve">) multa lançada até 20.01.15, mas notificada ao contribuinte posteriormente a tal data – também é alcançada pela anistia; </w:t>
      </w:r>
      <w:proofErr w:type="spellStart"/>
      <w:r w:rsidRPr="009218D5">
        <w:rPr>
          <w:rFonts w:ascii="Arial" w:eastAsia="Times New Roman" w:hAnsi="Arial" w:cs="Arial"/>
          <w:i/>
          <w:iCs/>
          <w:color w:val="0E4354"/>
          <w:sz w:val="27"/>
          <w:szCs w:val="27"/>
          <w:lang w:eastAsia="pt-BR"/>
        </w:rPr>
        <w:t>iii</w:t>
      </w:r>
      <w:proofErr w:type="spellEnd"/>
      <w:r w:rsidRPr="009218D5">
        <w:rPr>
          <w:rFonts w:ascii="Arial" w:eastAsia="Times New Roman" w:hAnsi="Arial" w:cs="Arial"/>
          <w:i/>
          <w:iCs/>
          <w:color w:val="0E4354"/>
          <w:sz w:val="27"/>
          <w:szCs w:val="27"/>
          <w:lang w:eastAsia="pt-BR"/>
        </w:rPr>
        <w:t>) multa lançada após 20.01.15, ainda que se refira a atraso havido até tal data – NÃO é alcançada pela anistia.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i/>
          <w:iCs/>
          <w:color w:val="0E4354"/>
          <w:sz w:val="27"/>
          <w:szCs w:val="27"/>
          <w:lang w:eastAsia="pt-BR"/>
        </w:rPr>
        <w:t>Enfim, a anistia se aplica aos casos em que cumulativamente: o contribuinte apresentou a declaração até o último dia do mês seguinte àquele em que deveria ter apresentado; a multa foi efetivamente lançada até 20.01.15.</w:t>
      </w:r>
    </w:p>
    <w:p w:rsidR="009218D5" w:rsidRPr="009218D5" w:rsidRDefault="009218D5" w:rsidP="009218D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218D5">
        <w:rPr>
          <w:rFonts w:ascii="Arial" w:eastAsia="Times New Roman" w:hAnsi="Arial" w:cs="Arial"/>
          <w:color w:val="0E4354"/>
          <w:sz w:val="18"/>
          <w:szCs w:val="18"/>
          <w:lang w:eastAsia="pt-BR"/>
        </w:rPr>
        <w:br/>
      </w:r>
    </w:p>
    <w:p w:rsidR="009218D5" w:rsidRPr="009218D5" w:rsidRDefault="009218D5" w:rsidP="009218D5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color w:val="0E4354"/>
          <w:sz w:val="18"/>
          <w:szCs w:val="18"/>
          <w:lang w:eastAsia="pt-BR"/>
        </w:rPr>
      </w:pPr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 xml:space="preserve">Entendemos que </w:t>
      </w:r>
      <w:proofErr w:type="gramStart"/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>a aplicação das multas ora em pauta não dependem</w:t>
      </w:r>
      <w:proofErr w:type="gramEnd"/>
      <w:r w:rsidRPr="009218D5">
        <w:rPr>
          <w:rFonts w:ascii="Arial" w:eastAsia="Times New Roman" w:hAnsi="Arial" w:cs="Arial"/>
          <w:color w:val="0E4354"/>
          <w:sz w:val="27"/>
          <w:szCs w:val="27"/>
          <w:lang w:eastAsia="pt-BR"/>
        </w:rPr>
        <w:t xml:space="preserve"> exclusivamente da boa vontade da Receita Federal, pois as mesmas estão estabelecidas no artigo 32-A da Lei 8,212, de 24 de julho de 1991.</w:t>
      </w:r>
    </w:p>
    <w:p w:rsidR="00782D91" w:rsidRDefault="00782D91"/>
    <w:sectPr w:rsidR="00782D9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218D5"/>
    <w:rsid w:val="00782D91"/>
    <w:rsid w:val="009218D5"/>
    <w:rsid w:val="00DA02E3"/>
    <w:rsid w:val="00FD6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18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218D5"/>
    <w:rPr>
      <w:b/>
      <w:bCs/>
    </w:rPr>
  </w:style>
  <w:style w:type="character" w:styleId="nfase">
    <w:name w:val="Emphasis"/>
    <w:basedOn w:val="Fontepargpadro"/>
    <w:uiPriority w:val="20"/>
    <w:qFormat/>
    <w:rsid w:val="009218D5"/>
    <w:rPr>
      <w:i/>
      <w:iCs/>
    </w:rPr>
  </w:style>
  <w:style w:type="character" w:styleId="Hyperlink">
    <w:name w:val="Hyperlink"/>
    <w:basedOn w:val="Fontepargpadro"/>
    <w:uiPriority w:val="99"/>
    <w:semiHidden/>
    <w:unhideWhenUsed/>
    <w:rsid w:val="009218D5"/>
    <w:rPr>
      <w:color w:val="0000FF"/>
      <w:u w:val="single"/>
    </w:rPr>
  </w:style>
  <w:style w:type="paragraph" w:customStyle="1" w:styleId="s4">
    <w:name w:val="s4"/>
    <w:basedOn w:val="Normal"/>
    <w:rsid w:val="009218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ww-recuodecorpodetexto2">
    <w:name w:val="ww-recuodecorpodetexto2"/>
    <w:basedOn w:val="Normal"/>
    <w:rsid w:val="009218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218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9218D5"/>
    <w:rPr>
      <w:b/>
      <w:bCs/>
    </w:rPr>
  </w:style>
  <w:style w:type="character" w:styleId="nfase">
    <w:name w:val="Emphasis"/>
    <w:basedOn w:val="Fontepargpadro"/>
    <w:uiPriority w:val="20"/>
    <w:qFormat/>
    <w:rsid w:val="009218D5"/>
    <w:rPr>
      <w:i/>
      <w:iCs/>
    </w:rPr>
  </w:style>
  <w:style w:type="character" w:styleId="Hyperlink">
    <w:name w:val="Hyperlink"/>
    <w:basedOn w:val="Fontepargpadro"/>
    <w:uiPriority w:val="99"/>
    <w:semiHidden/>
    <w:unhideWhenUsed/>
    <w:rsid w:val="009218D5"/>
    <w:rPr>
      <w:color w:val="0000FF"/>
      <w:u w:val="single"/>
    </w:rPr>
  </w:style>
  <w:style w:type="paragraph" w:customStyle="1" w:styleId="s4">
    <w:name w:val="s4"/>
    <w:basedOn w:val="Normal"/>
    <w:rsid w:val="009218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ww-recuodecorpodetexto2">
    <w:name w:val="ww-recuodecorpodetexto2"/>
    <w:basedOn w:val="Normal"/>
    <w:rsid w:val="009218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3368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076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4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97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302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receita.fazenda.gov.br/previdencia/gfip/gfip3manform.htm" TargetMode="External"/><Relationship Id="rId13" Type="http://schemas.openxmlformats.org/officeDocument/2006/relationships/hyperlink" Target="file:///C:\Users\Administrador\Downloads\Impugna%C3%A7%C3%A3o%20GFIP%20revisado.doc" TargetMode="External"/><Relationship Id="rId18" Type="http://schemas.openxmlformats.org/officeDocument/2006/relationships/hyperlink" Target="http://fenacon.us10.list-manage1.com/track/click?u=f675aedec5592245e42601391&amp;id=9ee20e6497&amp;e=aa74ba3634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://fenacon.us10.list-manage.com/track/click?u=f675aedec5592245e42601391&amp;id=77c427d7c7&amp;e=aa74ba3634" TargetMode="External"/><Relationship Id="rId7" Type="http://schemas.openxmlformats.org/officeDocument/2006/relationships/hyperlink" Target="http://www.receita.fazenda.gov.br/previdencia/gfip/gfip3manform.htm" TargetMode="External"/><Relationship Id="rId12" Type="http://schemas.openxmlformats.org/officeDocument/2006/relationships/hyperlink" Target="file:///C:\Users\Administrador\Downloads\Impugna%C3%A7%C3%A3o%20GFIP%20revisado.doc" TargetMode="External"/><Relationship Id="rId17" Type="http://schemas.openxmlformats.org/officeDocument/2006/relationships/hyperlink" Target="http://fenacon.us10.list-manage.com/track/click?u=f675aedec5592245e42601391&amp;id=70bdb7d73f&amp;e=aa74ba3634" TargetMode="External"/><Relationship Id="rId25" Type="http://schemas.openxmlformats.org/officeDocument/2006/relationships/hyperlink" Target="http://fenacon.us10.list-manage2.com/track/click?u=f675aedec5592245e42601391&amp;id=7f0c7f92f4&amp;e=aa74ba3634" TargetMode="External"/><Relationship Id="rId2" Type="http://schemas.microsoft.com/office/2007/relationships/stylesWithEffects" Target="stylesWithEffects.xml"/><Relationship Id="rId16" Type="http://schemas.openxmlformats.org/officeDocument/2006/relationships/hyperlink" Target="http://fenacon.us10.list-manage.com/track/click?u=f675aedec5592245e42601391&amp;id=abdd37820f&amp;e=aa74ba3634" TargetMode="External"/><Relationship Id="rId20" Type="http://schemas.openxmlformats.org/officeDocument/2006/relationships/hyperlink" Target="http://fenacon.us10.list-manage.com/track/click?u=f675aedec5592245e42601391&amp;id=7f3c4f9350&amp;e=aa74ba3634" TargetMode="External"/><Relationship Id="rId1" Type="http://schemas.openxmlformats.org/officeDocument/2006/relationships/styles" Target="styles.xml"/><Relationship Id="rId6" Type="http://schemas.openxmlformats.org/officeDocument/2006/relationships/hyperlink" Target="file:///C:\Users\Administrador\Downloads\Impugna%C3%A7%C3%A3o%20GFIP%20revisado.doc" TargetMode="External"/><Relationship Id="rId11" Type="http://schemas.openxmlformats.org/officeDocument/2006/relationships/hyperlink" Target="file:///C:\Users\Administrador\Downloads\Impugna%C3%A7%C3%A3o%20GFIP%20revisado.doc" TargetMode="External"/><Relationship Id="rId24" Type="http://schemas.openxmlformats.org/officeDocument/2006/relationships/hyperlink" Target="http://fenacon.us10.list-manage.com/track/click?u=f675aedec5592245e42601391&amp;id=691e6e0036&amp;e=aa74ba3634" TargetMode="External"/><Relationship Id="rId5" Type="http://schemas.openxmlformats.org/officeDocument/2006/relationships/hyperlink" Target="file:///C:\Users\Administrador\Downloads\Impugna%C3%A7%C3%A3o%20GFIP%20revisado.doc" TargetMode="External"/><Relationship Id="rId15" Type="http://schemas.openxmlformats.org/officeDocument/2006/relationships/hyperlink" Target="http://fenacon.us10.list-manage.com/track/click?u=f675aedec5592245e42601391&amp;id=32981358a7&amp;e=aa74ba3634" TargetMode="External"/><Relationship Id="rId23" Type="http://schemas.openxmlformats.org/officeDocument/2006/relationships/hyperlink" Target="http://fenacon.us10.list-manage.com/track/click?u=f675aedec5592245e42601391&amp;id=3901fcbb84&amp;e=aa74ba3634" TargetMode="External"/><Relationship Id="rId10" Type="http://schemas.openxmlformats.org/officeDocument/2006/relationships/hyperlink" Target="file:///C:\Users\Administrador\Downloads\Impugna%C3%A7%C3%A3o%20GFIP%20revisado.doc" TargetMode="External"/><Relationship Id="rId19" Type="http://schemas.openxmlformats.org/officeDocument/2006/relationships/hyperlink" Target="http://fenacon.us10.list-manage.com/track/click?u=f675aedec5592245e42601391&amp;id=0e526d8ffa&amp;e=aa74ba363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file:///C:\Users\Administrador\Downloads\Impugna%C3%A7%C3%A3o%20GFIP%20revisado.doc" TargetMode="External"/><Relationship Id="rId14" Type="http://schemas.openxmlformats.org/officeDocument/2006/relationships/hyperlink" Target="file:///C:\Users\Administrador\Downloads\Impugna%C3%A7%C3%A3o%20GFIP%20revisado.doc" TargetMode="External"/><Relationship Id="rId22" Type="http://schemas.openxmlformats.org/officeDocument/2006/relationships/hyperlink" Target="http://fenacon.us10.list-manage.com/track/click?u=f675aedec5592245e42601391&amp;id=2474ce67a3&amp;e=aa74ba3634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20</Pages>
  <Words>3797</Words>
  <Characters>20509</Characters>
  <Application>Microsoft Office Word</Application>
  <DocSecurity>0</DocSecurity>
  <Lines>170</Lines>
  <Paragraphs>48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Reserva 2</dc:creator>
  <cp:lastModifiedBy>DAP-01</cp:lastModifiedBy>
  <cp:revision>2</cp:revision>
  <dcterms:created xsi:type="dcterms:W3CDTF">2018-05-17T18:40:00Z</dcterms:created>
  <dcterms:modified xsi:type="dcterms:W3CDTF">2018-05-17T18:40:00Z</dcterms:modified>
</cp:coreProperties>
</file>