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6674" w:rsidRDefault="00661BB8" w:rsidP="002E6674">
      <w:pPr>
        <w:shd w:val="clear" w:color="auto" w:fill="FFFFFF"/>
        <w:spacing w:after="0" w:line="240" w:lineRule="auto"/>
        <w:contextualSpacing/>
        <w:mirrorIndents/>
        <w:outlineLvl w:val="0"/>
        <w:rPr>
          <w:rFonts w:ascii="Arial" w:eastAsia="Times New Roman" w:hAnsi="Arial" w:cs="Arial"/>
          <w:kern w:val="36"/>
          <w:sz w:val="28"/>
          <w:szCs w:val="28"/>
          <w:bdr w:val="none" w:sz="0" w:space="0" w:color="auto" w:frame="1"/>
          <w:lang w:eastAsia="pt-BR"/>
        </w:rPr>
      </w:pPr>
      <w:r>
        <w:rPr>
          <w:rFonts w:ascii="Arial" w:eastAsia="Times New Roman" w:hAnsi="Arial" w:cs="Arial"/>
          <w:noProof/>
          <w:kern w:val="36"/>
          <w:sz w:val="28"/>
          <w:szCs w:val="28"/>
          <w:bdr w:val="none" w:sz="0" w:space="0" w:color="auto" w:frame="1"/>
          <w:lang w:eastAsia="pt-BR"/>
        </w:rPr>
        <w:t>ESTE MATERIAL DE APOIO FAZ PARTE DO TREINAMENTO DE BRIGADA DE INCÊNDIO</w:t>
      </w:r>
    </w:p>
    <w:p w:rsidR="002E6674" w:rsidRDefault="002E6674" w:rsidP="002E6674">
      <w:pPr>
        <w:shd w:val="clear" w:color="auto" w:fill="FFFFFF"/>
        <w:spacing w:after="0" w:line="240" w:lineRule="auto"/>
        <w:contextualSpacing/>
        <w:mirrorIndents/>
        <w:outlineLvl w:val="0"/>
        <w:rPr>
          <w:rFonts w:ascii="Arial" w:eastAsia="Times New Roman" w:hAnsi="Arial" w:cs="Arial"/>
          <w:kern w:val="36"/>
          <w:sz w:val="28"/>
          <w:szCs w:val="28"/>
          <w:bdr w:val="none" w:sz="0" w:space="0" w:color="auto" w:frame="1"/>
          <w:lang w:eastAsia="pt-BR"/>
        </w:rPr>
      </w:pPr>
    </w:p>
    <w:p w:rsidR="00E666CD" w:rsidRPr="002E6674" w:rsidRDefault="00E666CD" w:rsidP="002E6674">
      <w:pPr>
        <w:shd w:val="clear" w:color="auto" w:fill="FFFFFF"/>
        <w:spacing w:after="0" w:line="240" w:lineRule="auto"/>
        <w:contextualSpacing/>
        <w:mirrorIndents/>
        <w:outlineLvl w:val="0"/>
        <w:rPr>
          <w:rFonts w:ascii="Arial" w:eastAsia="Times New Roman" w:hAnsi="Arial" w:cs="Arial"/>
          <w:b/>
          <w:kern w:val="36"/>
          <w:sz w:val="44"/>
          <w:szCs w:val="28"/>
          <w:bdr w:val="none" w:sz="0" w:space="0" w:color="auto" w:frame="1"/>
          <w:lang w:eastAsia="pt-BR"/>
        </w:rPr>
      </w:pPr>
      <w:r w:rsidRPr="00E666CD">
        <w:rPr>
          <w:rFonts w:ascii="Arial" w:eastAsia="Times New Roman" w:hAnsi="Arial" w:cs="Arial"/>
          <w:b/>
          <w:kern w:val="36"/>
          <w:sz w:val="44"/>
          <w:szCs w:val="28"/>
          <w:bdr w:val="none" w:sz="0" w:space="0" w:color="auto" w:frame="1"/>
          <w:lang w:eastAsia="pt-BR"/>
        </w:rPr>
        <w:t>REGRAS DE MANUTENÇÃO E INSPEÇÃO DE EXTINTORES</w:t>
      </w:r>
    </w:p>
    <w:p w:rsidR="00E666CD" w:rsidRPr="00E666CD" w:rsidRDefault="00E666CD" w:rsidP="002E6674">
      <w:pPr>
        <w:shd w:val="clear" w:color="auto" w:fill="FFFFFF"/>
        <w:spacing w:after="0" w:line="240" w:lineRule="auto"/>
        <w:contextualSpacing/>
        <w:mirrorIndents/>
        <w:outlineLvl w:val="0"/>
        <w:rPr>
          <w:rFonts w:ascii="Arial" w:eastAsia="Times New Roman" w:hAnsi="Arial" w:cs="Arial"/>
          <w:kern w:val="36"/>
          <w:sz w:val="28"/>
          <w:szCs w:val="28"/>
          <w:lang w:eastAsia="pt-BR"/>
        </w:rPr>
      </w:pPr>
    </w:p>
    <w:p w:rsidR="00E666CD" w:rsidRPr="00E666CD" w:rsidRDefault="00E666CD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O extintor teve alteração em suas inspeções com a publicada em dezembro de 2016, a ABNT NBR 12962 inspeção e manutenção de extintores de incêndio, a mesma define novos critérios a respeito da qualidade dos extintores de incêndio, e estabelece os requisitos para conferência periódica e os serviços de inspeção e manutenção de extintores de incêndio portáteis e sobre rodas, desde modo há um aumento na segurança dos usuário e desempenho adequado do produto no momento de sua utilização.</w:t>
      </w:r>
    </w:p>
    <w:p w:rsidR="00E666CD" w:rsidRDefault="00E666CD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A norma não se aplica aos seguintes extintores: com carga de água, dotados de válvula pneumática para pressurização; dotados de válvula tipo três movimentos; com carga de CO2 dotados de rosca de ½” 14 NPT ou rosca ½” 14 NGT; e recipientes e cilindros cromados.</w:t>
      </w:r>
    </w:p>
    <w:p w:rsidR="002E6674" w:rsidRPr="00E666CD" w:rsidRDefault="002E6674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</w:p>
    <w:p w:rsidR="00E666CD" w:rsidRDefault="00E666CD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Pode-se definir a inspeção como o exame periódico ou que antecede a manutenção do extintor, cuja execução requer profissional capacitado, realizado no extintor de incêndio por empresa registrada no âmbito do Sistema Brasileiro de Avaliação da Conformidade (SBAC), sem a desmontagem do equipamento, com a finalidade de verificar se este permanece em condições de operação no tocante aos seus aspectos externos e que serve para definir o nível de manutenção a ser executado nesse extintor, caso necessário.</w:t>
      </w:r>
    </w:p>
    <w:p w:rsidR="002E6674" w:rsidRPr="00E666CD" w:rsidRDefault="002E6674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</w:p>
    <w:p w:rsidR="00E666CD" w:rsidRDefault="00E666CD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A </w:t>
      </w:r>
      <w:hyperlink r:id="rId7" w:history="1">
        <w:r w:rsidRPr="002E6674">
          <w:rPr>
            <w:rFonts w:ascii="Arial" w:eastAsia="Times New Roman" w:hAnsi="Arial" w:cs="Arial"/>
            <w:sz w:val="28"/>
            <w:szCs w:val="28"/>
            <w:u w:val="single"/>
            <w:bdr w:val="none" w:sz="0" w:space="0" w:color="auto" w:frame="1"/>
            <w:lang w:eastAsia="pt-BR"/>
          </w:rPr>
          <w:t>manutenção</w:t>
        </w:r>
      </w:hyperlink>
      <w:r w:rsidRPr="00E666CD">
        <w:rPr>
          <w:rFonts w:ascii="Arial" w:eastAsia="Times New Roman" w:hAnsi="Arial" w:cs="Arial"/>
          <w:sz w:val="28"/>
          <w:szCs w:val="28"/>
          <w:lang w:eastAsia="pt-BR"/>
        </w:rPr>
        <w:t> é um serviço de caráter preventivo e/ou corretivo cuja execução requer profissional capacitado da empresa registrada no âmbito do Sistema Brasileiro de Avaliação da Conformidade (SBAC), ferramental, equipamentos e local apropriados, realizado, obrigatoriamente, por empresa registrada no âmbito do SBAC, compreendendo o exame completo do extintor de incêndio, com a finalidade de manter suas condições de operação, de forma a proporcionar confiança de que o extintor de incêndio estará apto a funcionar com segurança e desempenho adequados ao combate de princípios de incêndio.</w:t>
      </w:r>
    </w:p>
    <w:p w:rsidR="002E6674" w:rsidRPr="00E666CD" w:rsidRDefault="002E6674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</w:p>
    <w:p w:rsidR="00E666CD" w:rsidRDefault="00E666CD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lastRenderedPageBreak/>
        <w:t>Quando não for possível identificar o valor da PNC deve-se adotar 1 MPa para extintores de pressurização direta e 1,4 MPa para os de pressurização indireta. Para os efeitos de aplicação desta norma, considerar 1 MPa equivalente a 10 kgf/cm².</w:t>
      </w:r>
    </w:p>
    <w:p w:rsidR="002E6674" w:rsidRPr="00E666CD" w:rsidRDefault="002E6674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</w:p>
    <w:p w:rsidR="00F64470" w:rsidRDefault="00E666CD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A indicação de marcas deve ter caráter meramente exemplificativo dos requisitos té</w:t>
      </w:r>
      <w:r w:rsidR="00F64470">
        <w:rPr>
          <w:rFonts w:ascii="Arial" w:eastAsia="Times New Roman" w:hAnsi="Arial" w:cs="Arial"/>
          <w:sz w:val="28"/>
          <w:szCs w:val="28"/>
          <w:lang w:eastAsia="pt-BR"/>
        </w:rPr>
        <w:t>cnicos que devam ser atendidos.</w:t>
      </w:r>
    </w:p>
    <w:p w:rsidR="00F64470" w:rsidRDefault="00E666CD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A massa do extintor portátil não pode ultrapassar 20 kg bem como a massa do extintor sobre rodas não pod</w:t>
      </w:r>
      <w:r w:rsidR="00F64470">
        <w:rPr>
          <w:rFonts w:ascii="Arial" w:eastAsia="Times New Roman" w:hAnsi="Arial" w:cs="Arial"/>
          <w:sz w:val="28"/>
          <w:szCs w:val="28"/>
          <w:lang w:eastAsia="pt-BR"/>
        </w:rPr>
        <w:t>e ultrapassar 250 kg.</w:t>
      </w:r>
    </w:p>
    <w:p w:rsidR="00E666CD" w:rsidRDefault="00E666CD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Quando da realização dos serviços de manutenção de terceiro nível, os extintores de incêndio e seus componentes devem ser submetidos aos ensaios de verificação de vazamento, em conformidade com as normas de referência específicas.</w:t>
      </w:r>
    </w:p>
    <w:p w:rsidR="002E6674" w:rsidRPr="00E666CD" w:rsidRDefault="002E6674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</w:p>
    <w:p w:rsidR="00E666CD" w:rsidRDefault="00E666CD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Quando a inspeção técnica e a manutenção do extintor de incêndio demandar a substituição de qualquer componente, esse componente deve atender ao estabelecido, sendo que, especificamente com relação ao pó para extinção de incêndio deve atender a NBR 9695 e ao descrito no item 6.3. Considerar que o material do tubo-sifão deve ser aquele indicado nas normas de fabricação descritas na Seção 4 e no manual do fabricante do extintor.</w:t>
      </w:r>
    </w:p>
    <w:p w:rsidR="002E6674" w:rsidRPr="00E666CD" w:rsidRDefault="002E6674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</w:p>
    <w:p w:rsidR="00E666CD" w:rsidRDefault="00E666CD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A verificação mensal a ser feita pelo proprietário ou responsável do extintor de incêndio com a finalidade de constatar se este permanece em condições de operação no tocante aos seus aspectos externos e instalação adequada. Esta verificação deve ocorrer em intervalos mais frequentes quando as circunstâncias exigirem.</w:t>
      </w:r>
    </w:p>
    <w:p w:rsidR="002E6674" w:rsidRDefault="002E6674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</w:p>
    <w:p w:rsidR="00F64470" w:rsidRPr="00E666CD" w:rsidRDefault="00F64470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</w:p>
    <w:p w:rsidR="00E666CD" w:rsidRPr="00E666CD" w:rsidRDefault="004F703A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2E6674">
        <w:rPr>
          <w:rFonts w:ascii="Arial" w:eastAsia="Times New Roman" w:hAnsi="Arial" w:cs="Arial"/>
          <w:b/>
          <w:bCs/>
          <w:sz w:val="28"/>
          <w:szCs w:val="28"/>
          <w:bdr w:val="none" w:sz="0" w:space="0" w:color="auto" w:frame="1"/>
          <w:lang w:eastAsia="pt-BR"/>
        </w:rPr>
        <w:t>A CONFE</w:t>
      </w:r>
      <w:r>
        <w:rPr>
          <w:rFonts w:ascii="Arial" w:eastAsia="Times New Roman" w:hAnsi="Arial" w:cs="Arial"/>
          <w:b/>
          <w:bCs/>
          <w:sz w:val="28"/>
          <w:szCs w:val="28"/>
          <w:bdr w:val="none" w:sz="0" w:space="0" w:color="auto" w:frame="1"/>
          <w:lang w:eastAsia="pt-BR"/>
        </w:rPr>
        <w:t>RÊNCIA PERIÓDICA DEVE VERIFICAR</w:t>
      </w:r>
    </w:p>
    <w:p w:rsidR="00E666CD" w:rsidRPr="00E666CD" w:rsidRDefault="00535CA1" w:rsidP="002E6674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t>S</w:t>
      </w:r>
      <w:r w:rsidR="00E666CD" w:rsidRPr="00E666CD">
        <w:rPr>
          <w:rFonts w:ascii="Arial" w:eastAsia="Times New Roman" w:hAnsi="Arial" w:cs="Arial"/>
          <w:sz w:val="28"/>
          <w:szCs w:val="28"/>
          <w:lang w:eastAsia="pt-BR"/>
        </w:rPr>
        <w:t>e o extintor está instalado adequadamente quanto à sua localização, classe e risco de fogo, sinalização, faixa de temperatura de operação, fixação ou apoio em suporte, desobstrução e fácil visualização;</w:t>
      </w:r>
    </w:p>
    <w:p w:rsidR="00E666CD" w:rsidRPr="00E666CD" w:rsidRDefault="00535CA1" w:rsidP="002E6674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t>O</w:t>
      </w:r>
      <w:r w:rsidR="00E666CD" w:rsidRPr="00E666CD">
        <w:rPr>
          <w:rFonts w:ascii="Arial" w:eastAsia="Times New Roman" w:hAnsi="Arial" w:cs="Arial"/>
          <w:sz w:val="28"/>
          <w:szCs w:val="28"/>
          <w:lang w:eastAsia="pt-BR"/>
        </w:rPr>
        <w:t xml:space="preserve"> aspecto externo quanto a dano e corrosão;</w:t>
      </w:r>
    </w:p>
    <w:p w:rsidR="00E666CD" w:rsidRPr="00E666CD" w:rsidRDefault="00F64470" w:rsidP="002E6674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t>C</w:t>
      </w:r>
      <w:r w:rsidR="00E666CD" w:rsidRPr="00E666CD">
        <w:rPr>
          <w:rFonts w:ascii="Arial" w:eastAsia="Times New Roman" w:hAnsi="Arial" w:cs="Arial"/>
          <w:sz w:val="28"/>
          <w:szCs w:val="28"/>
          <w:lang w:eastAsia="pt-BR"/>
        </w:rPr>
        <w:t>ondições de lacração, de modo a evidenciar a inviolabilidade do extintor de incêndio;</w:t>
      </w:r>
    </w:p>
    <w:p w:rsidR="00E666CD" w:rsidRPr="00E666CD" w:rsidRDefault="00535CA1" w:rsidP="002E6674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t>P</w:t>
      </w:r>
      <w:r w:rsidR="00E666CD" w:rsidRPr="00E666CD">
        <w:rPr>
          <w:rFonts w:ascii="Arial" w:eastAsia="Times New Roman" w:hAnsi="Arial" w:cs="Arial"/>
          <w:sz w:val="28"/>
          <w:szCs w:val="28"/>
          <w:lang w:eastAsia="pt-BR"/>
        </w:rPr>
        <w:t>razos limites descritos para execução dos próximos serviços de inspeção e manutenção;</w:t>
      </w:r>
      <w:r w:rsidR="00646A67" w:rsidRPr="00646A67">
        <w:rPr>
          <w:rFonts w:ascii="Arial" w:eastAsia="Times New Roman" w:hAnsi="Arial" w:cs="Arial"/>
          <w:noProof/>
          <w:kern w:val="36"/>
          <w:sz w:val="28"/>
          <w:szCs w:val="28"/>
          <w:bdr w:val="none" w:sz="0" w:space="0" w:color="auto" w:frame="1"/>
          <w:lang w:eastAsia="pt-BR"/>
        </w:rPr>
        <w:t xml:space="preserve"> </w:t>
      </w:r>
    </w:p>
    <w:p w:rsidR="00E666CD" w:rsidRPr="00E666CD" w:rsidRDefault="00535CA1" w:rsidP="002E6674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lastRenderedPageBreak/>
        <w:t>Q</w:t>
      </w:r>
      <w:r w:rsidR="00E666CD" w:rsidRPr="00E666CD">
        <w:rPr>
          <w:rFonts w:ascii="Arial" w:eastAsia="Times New Roman" w:hAnsi="Arial" w:cs="Arial"/>
          <w:sz w:val="28"/>
          <w:szCs w:val="28"/>
          <w:lang w:eastAsia="pt-BR"/>
        </w:rPr>
        <w:t>uadro de instruções legível e adequado ao tipo e modelo do extintor de incêndio; as condições de uso do conjunto de rodagem e transporte;</w:t>
      </w:r>
    </w:p>
    <w:p w:rsidR="00E666CD" w:rsidRPr="00E666CD" w:rsidRDefault="00535CA1" w:rsidP="002E6674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t>A</w:t>
      </w:r>
      <w:r w:rsidR="00E666CD" w:rsidRPr="00E666CD">
        <w:rPr>
          <w:rFonts w:ascii="Arial" w:eastAsia="Times New Roman" w:hAnsi="Arial" w:cs="Arial"/>
          <w:sz w:val="28"/>
          <w:szCs w:val="28"/>
          <w:lang w:eastAsia="pt-BR"/>
        </w:rPr>
        <w:t>dequação e condições aparentes da mangueira de descarga, válvula, punho, difusor e cilindro para o gás expelente (ampola), quando for o caso;</w:t>
      </w:r>
    </w:p>
    <w:p w:rsidR="00E666CD" w:rsidRPr="00E666CD" w:rsidRDefault="00535CA1" w:rsidP="002E6674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t>P</w:t>
      </w:r>
      <w:r w:rsidR="00E666CD" w:rsidRPr="00E666CD">
        <w:rPr>
          <w:rFonts w:ascii="Arial" w:eastAsia="Times New Roman" w:hAnsi="Arial" w:cs="Arial"/>
          <w:sz w:val="28"/>
          <w:szCs w:val="28"/>
          <w:lang w:eastAsia="pt-BR"/>
        </w:rPr>
        <w:t>osição e condição do ponteiro do indicador de pressão na faixa de operação;</w:t>
      </w:r>
    </w:p>
    <w:p w:rsidR="00E666CD" w:rsidRDefault="00F64470" w:rsidP="002E6674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t>D</w:t>
      </w:r>
      <w:r w:rsidR="00E666CD" w:rsidRPr="00E666CD">
        <w:rPr>
          <w:rFonts w:ascii="Arial" w:eastAsia="Times New Roman" w:hAnsi="Arial" w:cs="Arial"/>
          <w:sz w:val="28"/>
          <w:szCs w:val="28"/>
          <w:lang w:eastAsia="pt-BR"/>
        </w:rPr>
        <w:t>esobstrução do orifício de descarga.</w:t>
      </w:r>
    </w:p>
    <w:p w:rsidR="004F703A" w:rsidRPr="00E666CD" w:rsidRDefault="004F703A" w:rsidP="004F703A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</w:p>
    <w:p w:rsidR="00E666CD" w:rsidRPr="00E666CD" w:rsidRDefault="004F703A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2E6674">
        <w:rPr>
          <w:rFonts w:ascii="Arial" w:eastAsia="Times New Roman" w:hAnsi="Arial" w:cs="Arial"/>
          <w:b/>
          <w:bCs/>
          <w:sz w:val="28"/>
          <w:szCs w:val="28"/>
          <w:bdr w:val="none" w:sz="0" w:space="0" w:color="auto" w:frame="1"/>
          <w:lang w:eastAsia="pt-BR"/>
        </w:rPr>
        <w:t xml:space="preserve">NA </w:t>
      </w:r>
      <w:r>
        <w:rPr>
          <w:rFonts w:ascii="Arial" w:eastAsia="Times New Roman" w:hAnsi="Arial" w:cs="Arial"/>
          <w:b/>
          <w:bCs/>
          <w:sz w:val="28"/>
          <w:szCs w:val="28"/>
          <w:bdr w:val="none" w:sz="0" w:space="0" w:color="auto" w:frame="1"/>
          <w:lang w:eastAsia="pt-BR"/>
        </w:rPr>
        <w:t>INSPEÇÃO DEVE-SE DEVE VERIFICAR</w:t>
      </w:r>
    </w:p>
    <w:p w:rsidR="00E666CD" w:rsidRPr="00E666CD" w:rsidRDefault="00535CA1" w:rsidP="002E6674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Condições do ambiente a que está exposto o extintor de incêndio, quando aplicável;</w:t>
      </w:r>
    </w:p>
    <w:p w:rsidR="00E666CD" w:rsidRPr="00E666CD" w:rsidRDefault="00535CA1" w:rsidP="002E6674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Identificação do fabricante do extintor de incêndio, gra</w:t>
      </w:r>
      <w:r w:rsidR="00E666CD" w:rsidRPr="00E666CD">
        <w:rPr>
          <w:rFonts w:ascii="Arial" w:eastAsia="Times New Roman" w:hAnsi="Arial" w:cs="Arial"/>
          <w:sz w:val="28"/>
          <w:szCs w:val="28"/>
          <w:lang w:eastAsia="pt-BR"/>
        </w:rPr>
        <w:t>vada de forma indelével no recipiente ou cilindro;</w:t>
      </w:r>
    </w:p>
    <w:p w:rsidR="00E666CD" w:rsidRPr="00E666CD" w:rsidRDefault="00535CA1" w:rsidP="002E6674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Condições de lacração, de modo a evidenciar a inviolabilidade do extintor de incêndio, verificando se o lacre tem possibilidade de ruptura quando da utilização;</w:t>
      </w:r>
    </w:p>
    <w:p w:rsidR="00E666CD" w:rsidRPr="00E666CD" w:rsidRDefault="00535CA1" w:rsidP="002E6674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Data da última manutenção e do último ensaio</w:t>
      </w:r>
      <w:r w:rsidR="00E666CD" w:rsidRPr="00E666CD">
        <w:rPr>
          <w:rFonts w:ascii="Arial" w:eastAsia="Times New Roman" w:hAnsi="Arial" w:cs="Arial"/>
          <w:sz w:val="28"/>
          <w:szCs w:val="28"/>
          <w:lang w:eastAsia="pt-BR"/>
        </w:rPr>
        <w:t xml:space="preserve"> hidrostático, os prazos-limites para execução dos próximos serviços, a validade destes e se são mantidas as condições que preservem a garantia dada aos serviços;</w:t>
      </w:r>
    </w:p>
    <w:p w:rsidR="00E666CD" w:rsidRPr="00E666CD" w:rsidRDefault="00535CA1" w:rsidP="002E6674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 xml:space="preserve">Quadro de instruções, legível e adequado ao tipo e modelo do extintor de incêndio, e à faixa </w:t>
      </w:r>
      <w:r w:rsidR="00E666CD" w:rsidRPr="00E666CD">
        <w:rPr>
          <w:rFonts w:ascii="Arial" w:eastAsia="Times New Roman" w:hAnsi="Arial" w:cs="Arial"/>
          <w:sz w:val="28"/>
          <w:szCs w:val="28"/>
          <w:lang w:eastAsia="pt-BR"/>
        </w:rPr>
        <w:t>de temperatura de operação indicada; fixação dos componentes roscados;</w:t>
      </w:r>
    </w:p>
    <w:p w:rsidR="00E666CD" w:rsidRPr="00E666CD" w:rsidRDefault="00535CA1" w:rsidP="002E6674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 xml:space="preserve">Integridade e funcionalidade do conjunto de rodagem e transporte; as condições aparentes da mangueira de descarga, punho e difusor, quanto a rachaduras, trincas, ressecamentos, entre </w:t>
      </w:r>
      <w:r w:rsidR="00E666CD" w:rsidRPr="00E666CD">
        <w:rPr>
          <w:rFonts w:ascii="Arial" w:eastAsia="Times New Roman" w:hAnsi="Arial" w:cs="Arial"/>
          <w:sz w:val="28"/>
          <w:szCs w:val="28"/>
          <w:lang w:eastAsia="pt-BR"/>
        </w:rPr>
        <w:t>outros danos, quando for o caso;</w:t>
      </w:r>
    </w:p>
    <w:p w:rsidR="00E666CD" w:rsidRPr="00E666CD" w:rsidRDefault="00535CA1" w:rsidP="002E6674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Recipiente ou cilindro do extintor de incêndio e seus componentes aparentes, quanto à presença de sinais de corrosão e outros danos;</w:t>
      </w:r>
    </w:p>
    <w:p w:rsidR="00E666CD" w:rsidRPr="00E666CD" w:rsidRDefault="00535CA1" w:rsidP="002E6674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Ponteiro do indicador de pressão na faixa de operação, ou seja, área verde do indicador de</w:t>
      </w:r>
      <w:r w:rsidR="00E666CD" w:rsidRPr="00E666CD">
        <w:rPr>
          <w:rFonts w:ascii="Arial" w:eastAsia="Times New Roman" w:hAnsi="Arial" w:cs="Arial"/>
          <w:sz w:val="28"/>
          <w:szCs w:val="28"/>
          <w:lang w:eastAsia="pt-BR"/>
        </w:rPr>
        <w:t xml:space="preserve"> pressão; a existência de todos os componentes aparentes necessários para seu transporte e funcionamento; a desobstrução do orifício de descarga;</w:t>
      </w:r>
    </w:p>
    <w:p w:rsidR="00E666CD" w:rsidRPr="00E666CD" w:rsidRDefault="00535CA1" w:rsidP="002E6674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No caso do extintor de incêndio com carga de dióxido de carbono (co2), os registros da massa do extintor de incêndio completo com carga (</w:t>
      </w:r>
      <w:proofErr w:type="spellStart"/>
      <w:r w:rsidRPr="00E666CD">
        <w:rPr>
          <w:rFonts w:ascii="Arial" w:eastAsia="Times New Roman" w:hAnsi="Arial" w:cs="Arial"/>
          <w:sz w:val="28"/>
          <w:szCs w:val="28"/>
          <w:lang w:eastAsia="pt-BR"/>
        </w:rPr>
        <w:t>pc</w:t>
      </w:r>
      <w:proofErr w:type="spellEnd"/>
      <w:r w:rsidRPr="00E666CD">
        <w:rPr>
          <w:rFonts w:ascii="Arial" w:eastAsia="Times New Roman" w:hAnsi="Arial" w:cs="Arial"/>
          <w:sz w:val="28"/>
          <w:szCs w:val="28"/>
          <w:lang w:eastAsia="pt-BR"/>
        </w:rPr>
        <w:t>) e da massa do extintor vazio (</w:t>
      </w:r>
      <w:proofErr w:type="spellStart"/>
      <w:r w:rsidRPr="00E666CD">
        <w:rPr>
          <w:rFonts w:ascii="Arial" w:eastAsia="Times New Roman" w:hAnsi="Arial" w:cs="Arial"/>
          <w:sz w:val="28"/>
          <w:szCs w:val="28"/>
          <w:lang w:eastAsia="pt-BR"/>
        </w:rPr>
        <w:t>pv</w:t>
      </w:r>
      <w:proofErr w:type="spellEnd"/>
      <w:r w:rsidRPr="00E666CD">
        <w:rPr>
          <w:rFonts w:ascii="Arial" w:eastAsia="Times New Roman" w:hAnsi="Arial" w:cs="Arial"/>
          <w:sz w:val="28"/>
          <w:szCs w:val="28"/>
          <w:lang w:eastAsia="pt-BR"/>
        </w:rPr>
        <w:t>) indicados na válvula;</w:t>
      </w:r>
    </w:p>
    <w:p w:rsidR="00E666CD" w:rsidRPr="00E666CD" w:rsidRDefault="00535CA1" w:rsidP="002E6674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No caso do extintor de incêndio com carga de dióxido de carbono (co2), a carga real de gás é realizada por meio da verificação da massa (pesagem), comparando com o valor</w:t>
      </w:r>
      <w:r w:rsidR="00E666CD" w:rsidRPr="00E666CD">
        <w:rPr>
          <w:rFonts w:ascii="Arial" w:eastAsia="Times New Roman" w:hAnsi="Arial" w:cs="Arial"/>
          <w:sz w:val="28"/>
          <w:szCs w:val="28"/>
          <w:lang w:eastAsia="pt-BR"/>
        </w:rPr>
        <w:t xml:space="preserve"> indicado na válvula de descarga, com tolerância até –10 % da carga nominal;</w:t>
      </w:r>
    </w:p>
    <w:p w:rsidR="00E666CD" w:rsidRPr="00E666CD" w:rsidRDefault="00535CA1" w:rsidP="002E6674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lastRenderedPageBreak/>
        <w:t>No caso dos cilindros para gás expelente (ampola) com carga de dióxido de carbono (co2), a carga real de gás é realizada por meio da verificação da massa (pesagem), comparando com</w:t>
      </w:r>
      <w:r w:rsidR="00E666CD" w:rsidRPr="00E666CD">
        <w:rPr>
          <w:rFonts w:ascii="Arial" w:eastAsia="Times New Roman" w:hAnsi="Arial" w:cs="Arial"/>
          <w:sz w:val="28"/>
          <w:szCs w:val="28"/>
          <w:lang w:eastAsia="pt-BR"/>
        </w:rPr>
        <w:t xml:space="preserve"> o valor indicado em sua válvula de descarga, com tolerância até –10 % da carga nominal, ou por meio da verificação da pressão, no caso dos cilindros para gás expelente (ampola) com carga de gás permanente (por exemplo, nitrogênio), com tolerância de até –10 % da pressão de operação nominal.</w:t>
      </w:r>
    </w:p>
    <w:p w:rsidR="00E666CD" w:rsidRPr="00E666CD" w:rsidRDefault="00E666CD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Ficam impedidos de serem submetidos à manutenção os recipientes dos extintores de incêndio de baixa pressão, os cilindros dos extintores de incêndio de alta pressão e os cilindros para o gás expelente que não possuam as seguintes marcações à punção: identificação do fabricante; número do recipiente ou cilindro; data de fabricação; norma Brasileira de fabricação; e código de projeto (para os extintores com fabricação a partir de 2006).</w:t>
      </w:r>
      <w:hyperlink r:id="rId8" w:history="1">
        <w:r w:rsidRPr="00E666CD">
          <w:rPr>
            <w:rFonts w:ascii="Arial" w:eastAsia="Times New Roman" w:hAnsi="Arial" w:cs="Arial"/>
            <w:sz w:val="28"/>
            <w:szCs w:val="28"/>
            <w:bdr w:val="none" w:sz="0" w:space="0" w:color="auto" w:frame="1"/>
            <w:lang w:eastAsia="pt-BR"/>
          </w:rPr>
          <w:br/>
        </w:r>
      </w:hyperlink>
    </w:p>
    <w:p w:rsidR="00E666CD" w:rsidRDefault="00E666CD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A manutenção de primeiro nível, por consistir em procedimento de caráter corretivo, envolvendo componentes não sujeitos à pressão permanente, pode ser executada, sempre que for requerida por uma inspeção, no local onde o extintor de incêndio se encontra instalado, desde que não haja justificativa para a remoção do extintor de incêndio para a empresa registrada prestadora de serviço.</w:t>
      </w:r>
    </w:p>
    <w:p w:rsidR="002E6674" w:rsidRPr="00E666CD" w:rsidRDefault="002E6674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</w:p>
    <w:p w:rsidR="00E666CD" w:rsidRPr="00E666CD" w:rsidRDefault="00E666CD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2E6674">
        <w:rPr>
          <w:rFonts w:ascii="Arial" w:eastAsia="Times New Roman" w:hAnsi="Arial" w:cs="Arial"/>
          <w:b/>
          <w:bCs/>
          <w:sz w:val="28"/>
          <w:szCs w:val="28"/>
          <w:bdr w:val="none" w:sz="0" w:space="0" w:color="auto" w:frame="1"/>
          <w:lang w:eastAsia="pt-BR"/>
        </w:rPr>
        <w:t xml:space="preserve">Manutenção de </w:t>
      </w:r>
      <w:r w:rsidR="004F703A" w:rsidRPr="002E6674">
        <w:rPr>
          <w:rFonts w:ascii="Arial" w:eastAsia="Times New Roman" w:hAnsi="Arial" w:cs="Arial"/>
          <w:b/>
          <w:bCs/>
          <w:sz w:val="28"/>
          <w:szCs w:val="28"/>
          <w:bdr w:val="none" w:sz="0" w:space="0" w:color="auto" w:frame="1"/>
          <w:lang w:eastAsia="pt-BR"/>
        </w:rPr>
        <w:t>PRIMEIRO NÍVEL</w:t>
      </w:r>
    </w:p>
    <w:p w:rsidR="00E666CD" w:rsidRPr="00E666CD" w:rsidRDefault="00535CA1" w:rsidP="002E6674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Limpeza dos componentes aparentes;</w:t>
      </w:r>
    </w:p>
    <w:p w:rsidR="00E666CD" w:rsidRPr="00E666CD" w:rsidRDefault="00535CA1" w:rsidP="002E6674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Reaperto de componentes roscados que</w:t>
      </w:r>
      <w:r w:rsidR="00E666CD" w:rsidRPr="00E666CD">
        <w:rPr>
          <w:rFonts w:ascii="Arial" w:eastAsia="Times New Roman" w:hAnsi="Arial" w:cs="Arial"/>
          <w:sz w:val="28"/>
          <w:szCs w:val="28"/>
          <w:lang w:eastAsia="pt-BR"/>
        </w:rPr>
        <w:t xml:space="preserve"> não estejam submetidos à pressão;</w:t>
      </w:r>
    </w:p>
    <w:p w:rsidR="00E666CD" w:rsidRPr="00E666CD" w:rsidRDefault="00535CA1" w:rsidP="002E6674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Colocação do quadro de instruções, quando necessário, conforme anexo c;</w:t>
      </w:r>
    </w:p>
    <w:p w:rsidR="00E666CD" w:rsidRDefault="00535CA1" w:rsidP="002E6674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 xml:space="preserve">A </w:t>
      </w:r>
      <w:r w:rsidR="00E666CD" w:rsidRPr="00E666CD">
        <w:rPr>
          <w:rFonts w:ascii="Arial" w:eastAsia="Times New Roman" w:hAnsi="Arial" w:cs="Arial"/>
          <w:sz w:val="28"/>
          <w:szCs w:val="28"/>
          <w:lang w:eastAsia="pt-BR"/>
        </w:rPr>
        <w:t xml:space="preserve">substituição ou colocação de componentes que não sejam submetidos à pressão, </w:t>
      </w:r>
      <w:proofErr w:type="gramStart"/>
      <w:r w:rsidR="00E666CD" w:rsidRPr="00E666CD">
        <w:rPr>
          <w:rFonts w:ascii="Arial" w:eastAsia="Times New Roman" w:hAnsi="Arial" w:cs="Arial"/>
          <w:sz w:val="28"/>
          <w:szCs w:val="28"/>
          <w:lang w:eastAsia="pt-BR"/>
        </w:rPr>
        <w:t>conforme Anexo</w:t>
      </w:r>
      <w:proofErr w:type="gramEnd"/>
      <w:r w:rsidR="00E666CD" w:rsidRPr="00E666CD">
        <w:rPr>
          <w:rFonts w:ascii="Arial" w:eastAsia="Times New Roman" w:hAnsi="Arial" w:cs="Arial"/>
          <w:sz w:val="28"/>
          <w:szCs w:val="28"/>
          <w:lang w:eastAsia="pt-BR"/>
        </w:rPr>
        <w:t xml:space="preserve"> B.</w:t>
      </w:r>
    </w:p>
    <w:p w:rsidR="004F703A" w:rsidRPr="00E666CD" w:rsidRDefault="004F703A" w:rsidP="004F703A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</w:p>
    <w:p w:rsidR="00E666CD" w:rsidRPr="00E666CD" w:rsidRDefault="00E666CD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2E6674">
        <w:rPr>
          <w:rFonts w:ascii="Arial" w:eastAsia="Times New Roman" w:hAnsi="Arial" w:cs="Arial"/>
          <w:b/>
          <w:bCs/>
          <w:sz w:val="28"/>
          <w:szCs w:val="28"/>
          <w:bdr w:val="none" w:sz="0" w:space="0" w:color="auto" w:frame="1"/>
          <w:lang w:eastAsia="pt-BR"/>
        </w:rPr>
        <w:t xml:space="preserve">Manutenção de </w:t>
      </w:r>
      <w:r w:rsidR="004F703A" w:rsidRPr="002E6674">
        <w:rPr>
          <w:rFonts w:ascii="Arial" w:eastAsia="Times New Roman" w:hAnsi="Arial" w:cs="Arial"/>
          <w:b/>
          <w:bCs/>
          <w:sz w:val="28"/>
          <w:szCs w:val="28"/>
          <w:bdr w:val="none" w:sz="0" w:space="0" w:color="auto" w:frame="1"/>
          <w:lang w:eastAsia="pt-BR"/>
        </w:rPr>
        <w:t>SEGUNDO NÍVEL</w:t>
      </w:r>
    </w:p>
    <w:p w:rsidR="00E666CD" w:rsidRPr="00E666CD" w:rsidRDefault="00E666CD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Por consistir em procedimento de caráter preventivo e corretivo, deve ser executada na frequência conforme a seguir:</w:t>
      </w:r>
    </w:p>
    <w:p w:rsidR="00E666CD" w:rsidRPr="00E666CD" w:rsidRDefault="00535CA1" w:rsidP="002E6674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 xml:space="preserve">Extintores </w:t>
      </w:r>
      <w:r w:rsidR="00E666CD" w:rsidRPr="00E666CD">
        <w:rPr>
          <w:rFonts w:ascii="Arial" w:eastAsia="Times New Roman" w:hAnsi="Arial" w:cs="Arial"/>
          <w:sz w:val="28"/>
          <w:szCs w:val="28"/>
          <w:lang w:eastAsia="pt-BR"/>
        </w:rPr>
        <w:t>fabricados anteriormente à NBR 15808 e NBR 15809: após término da garantia do fabricante ou uso: até 12 meses; extintores fabricados em conformidade com a NBR 15808 ou NBR 15809: durante a garantia do fabricante: conforme manual de manutenção do fabricante;</w:t>
      </w:r>
    </w:p>
    <w:p w:rsidR="00E666CD" w:rsidRPr="00E666CD" w:rsidRDefault="00535CA1" w:rsidP="002E6674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lastRenderedPageBreak/>
        <w:t xml:space="preserve">Após </w:t>
      </w:r>
      <w:r w:rsidR="00E666CD" w:rsidRPr="00E666CD">
        <w:rPr>
          <w:rFonts w:ascii="Arial" w:eastAsia="Times New Roman" w:hAnsi="Arial" w:cs="Arial"/>
          <w:sz w:val="28"/>
          <w:szCs w:val="28"/>
          <w:lang w:eastAsia="pt-BR"/>
        </w:rPr>
        <w:t>término da garantia do fabricante ou uso: se especificados processo, procedimento e periodicidade da manutenção, bem como componentes a serem substituídos no manual de manutenção: até o determinado no manual de manutenção do fabricante;</w:t>
      </w:r>
    </w:p>
    <w:p w:rsidR="00E666CD" w:rsidRDefault="00535CA1" w:rsidP="002E6674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 xml:space="preserve">Na </w:t>
      </w:r>
      <w:r w:rsidR="00E666CD" w:rsidRPr="00E666CD">
        <w:rPr>
          <w:rFonts w:ascii="Arial" w:eastAsia="Times New Roman" w:hAnsi="Arial" w:cs="Arial"/>
          <w:sz w:val="28"/>
          <w:szCs w:val="28"/>
          <w:lang w:eastAsia="pt-BR"/>
        </w:rPr>
        <w:t>ausência dessas especificações, até 12 meses; caso a inspeção determine, a frequência da manutenção pode ser reduzida; para extintores com carga de dióxido de carbono, fica a critério da empresa que realizou a manutenção de 2º nível ou 3º nível determinar o prazo máximo da manutenção de 2º nível, respeitando como data limite a realização da manutenção de 3º nível.</w:t>
      </w:r>
    </w:p>
    <w:p w:rsidR="004F703A" w:rsidRPr="00E666CD" w:rsidRDefault="004F703A" w:rsidP="004F703A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</w:p>
    <w:p w:rsidR="00E666CD" w:rsidRPr="00E666CD" w:rsidRDefault="00E666CD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2E6674">
        <w:rPr>
          <w:rFonts w:ascii="Arial" w:eastAsia="Times New Roman" w:hAnsi="Arial" w:cs="Arial"/>
          <w:b/>
          <w:bCs/>
          <w:sz w:val="28"/>
          <w:szCs w:val="28"/>
          <w:bdr w:val="none" w:sz="0" w:space="0" w:color="auto" w:frame="1"/>
          <w:lang w:eastAsia="pt-BR"/>
        </w:rPr>
        <w:t xml:space="preserve">Manutenção de </w:t>
      </w:r>
      <w:r w:rsidR="004F703A" w:rsidRPr="002E6674">
        <w:rPr>
          <w:rFonts w:ascii="Arial" w:eastAsia="Times New Roman" w:hAnsi="Arial" w:cs="Arial"/>
          <w:b/>
          <w:bCs/>
          <w:sz w:val="28"/>
          <w:szCs w:val="28"/>
          <w:bdr w:val="none" w:sz="0" w:space="0" w:color="auto" w:frame="1"/>
          <w:lang w:eastAsia="pt-BR"/>
        </w:rPr>
        <w:t>TERCEIRO NÍVEL</w:t>
      </w:r>
    </w:p>
    <w:p w:rsidR="00E666CD" w:rsidRPr="00E666CD" w:rsidRDefault="00E666CD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Tem caráter preventivo e corretivo, e visa verificar a resistência e as condições de operação do extintor de incêndio e seus componentes.</w:t>
      </w:r>
    </w:p>
    <w:p w:rsidR="00E666CD" w:rsidRPr="00E666CD" w:rsidRDefault="00E666CD" w:rsidP="002E6674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Os extintores devem ser submetidos a este nível de manutenção em um intervalo máximo de cinco anos, contados a partir de sua data de fabricação ou da realização do último ensaio hidrostático.</w:t>
      </w:r>
    </w:p>
    <w:p w:rsidR="00E666CD" w:rsidRPr="00E666CD" w:rsidRDefault="00E666CD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Independentemente da data de realização do último ensaio hidrostático, os recipientes e cilindros devem ser submetidos imediatamente a este ensaio, quando não for possível identificar quando se deu o último ensaio hidrostático ou, ainda, quando apresentarem qualquer uma das situações previstas a seguir: corrosão maior que grau Ri1, definido na ABNT NBR ISO 4628-3, no recipiente, cilindro ou nas partes que possam ser submetidas à pressão momentânea ou que estejam submetidas à pressão permanente, ou nas partes externas contendo mecanismo ou sistemas de acionamento mecânico; defeito na alça de transporte ou gatilho de acionamento, desde que estes constituam parte integrante de componentes sujeitos à pressão permanente ou momentânea; submetidos a danos térmicos ou mecânicos.</w:t>
      </w:r>
    </w:p>
    <w:p w:rsidR="00F64470" w:rsidRDefault="00E666CD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 xml:space="preserve">O extintor de incêndio deve atender aos requisitos de desempenho estabelecidos no Anexo E quanto à tolerância de carga, tempo de descarga e rendimento segundo os métodos de ensaio </w:t>
      </w:r>
      <w:r w:rsidR="00F64470">
        <w:rPr>
          <w:rFonts w:ascii="Arial" w:eastAsia="Times New Roman" w:hAnsi="Arial" w:cs="Arial"/>
          <w:sz w:val="28"/>
          <w:szCs w:val="28"/>
          <w:lang w:eastAsia="pt-BR"/>
        </w:rPr>
        <w:t>descritos.</w:t>
      </w:r>
    </w:p>
    <w:p w:rsidR="00F64470" w:rsidRDefault="00E666CD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A avaliação do desempenho dos extintores de incêndio deve ser realizada de modo a verificar se os extintores atendem aos requisitos de desemp</w:t>
      </w:r>
      <w:r w:rsidR="00F64470">
        <w:rPr>
          <w:rFonts w:ascii="Arial" w:eastAsia="Times New Roman" w:hAnsi="Arial" w:cs="Arial"/>
          <w:sz w:val="28"/>
          <w:szCs w:val="28"/>
          <w:lang w:eastAsia="pt-BR"/>
        </w:rPr>
        <w:t>enho estabelecidos nesta norma.</w:t>
      </w:r>
    </w:p>
    <w:p w:rsidR="00E666CD" w:rsidRDefault="00E666CD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lang w:eastAsia="pt-BR"/>
        </w:rPr>
        <w:t>Tem também, a finalidade de avaliar se o serviço de inspeção técnica e a manutenção de extintores de incêndio realizados são capazes de reproduzir os requisitos de desempenho estabelecidos nesta norma.</w:t>
      </w:r>
    </w:p>
    <w:p w:rsidR="004F703A" w:rsidRPr="00E666CD" w:rsidRDefault="004F703A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</w:p>
    <w:p w:rsidR="00661BB8" w:rsidRDefault="00661BB8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b/>
          <w:bCs/>
          <w:sz w:val="28"/>
          <w:szCs w:val="28"/>
          <w:bdr w:val="none" w:sz="0" w:space="0" w:color="auto" w:frame="1"/>
          <w:lang w:eastAsia="pt-BR"/>
        </w:rPr>
      </w:pPr>
    </w:p>
    <w:p w:rsidR="00E666CD" w:rsidRPr="00E666CD" w:rsidRDefault="00E666CD" w:rsidP="002E6674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2E6674">
        <w:rPr>
          <w:rFonts w:ascii="Arial" w:eastAsia="Times New Roman" w:hAnsi="Arial" w:cs="Arial"/>
          <w:b/>
          <w:bCs/>
          <w:sz w:val="28"/>
          <w:szCs w:val="28"/>
          <w:bdr w:val="none" w:sz="0" w:space="0" w:color="auto" w:frame="1"/>
          <w:lang w:eastAsia="pt-BR"/>
        </w:rPr>
        <w:lastRenderedPageBreak/>
        <w:t>NORMAS RELACIONADAS AO TEMA:</w:t>
      </w:r>
    </w:p>
    <w:p w:rsidR="00E666CD" w:rsidRPr="00E666CD" w:rsidRDefault="00E666CD" w:rsidP="002E6674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bdr w:val="none" w:sz="0" w:space="0" w:color="auto" w:frame="1"/>
          <w:lang w:eastAsia="pt-BR"/>
        </w:rPr>
        <w:t>ABNT NBR 12962 – Extintores de incêndio – Inspeção e manutenção</w:t>
      </w:r>
    </w:p>
    <w:p w:rsidR="00E666CD" w:rsidRPr="00E666CD" w:rsidRDefault="00E666CD" w:rsidP="002E6674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bdr w:val="none" w:sz="0" w:space="0" w:color="auto" w:frame="1"/>
          <w:lang w:eastAsia="pt-BR"/>
        </w:rPr>
        <w:t>ABNT NBR 12274 – Inspeção em cilindros de aço, sem costura, para gases</w:t>
      </w:r>
    </w:p>
    <w:p w:rsidR="00E666CD" w:rsidRPr="00E666CD" w:rsidRDefault="00E666CD" w:rsidP="002E6674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bdr w:val="none" w:sz="0" w:space="0" w:color="auto" w:frame="1"/>
          <w:lang w:eastAsia="pt-BR"/>
        </w:rPr>
        <w:t>ABNT NBR 14105-1 – Medidores de pressão – Parte 1: Medidores analógicos de pressão com sensor de elemento elástico – Requisitos de fabricação, classificação, ensaios e utilização</w:t>
      </w:r>
    </w:p>
    <w:p w:rsidR="00E666CD" w:rsidRPr="00E666CD" w:rsidRDefault="00E666CD" w:rsidP="002E6674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bdr w:val="none" w:sz="0" w:space="0" w:color="auto" w:frame="1"/>
          <w:lang w:eastAsia="pt-BR"/>
        </w:rPr>
        <w:t>ABNT NBR 15808 – Extintores de incêndio portáteis</w:t>
      </w:r>
    </w:p>
    <w:p w:rsidR="00E666CD" w:rsidRPr="00E666CD" w:rsidRDefault="00E666CD" w:rsidP="002E6674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bdr w:val="none" w:sz="0" w:space="0" w:color="auto" w:frame="1"/>
          <w:lang w:eastAsia="pt-BR"/>
        </w:rPr>
        <w:t>ABNT NBR 15809 – Extintores de incêndio sobre rodas</w:t>
      </w:r>
    </w:p>
    <w:p w:rsidR="00E666CD" w:rsidRPr="00E666CD" w:rsidRDefault="00E666CD" w:rsidP="002E6674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bdr w:val="none" w:sz="0" w:space="0" w:color="auto" w:frame="1"/>
          <w:lang w:eastAsia="pt-BR"/>
        </w:rPr>
        <w:t>ABNT NBR 5426 – Planos de amostragem e procedimentos na inspeção por atributos</w:t>
      </w:r>
    </w:p>
    <w:p w:rsidR="00E666CD" w:rsidRPr="00E666CD" w:rsidRDefault="00E666CD" w:rsidP="002E6674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E666CD">
        <w:rPr>
          <w:rFonts w:ascii="Arial" w:eastAsia="Times New Roman" w:hAnsi="Arial" w:cs="Arial"/>
          <w:sz w:val="28"/>
          <w:szCs w:val="28"/>
          <w:bdr w:val="none" w:sz="0" w:space="0" w:color="auto" w:frame="1"/>
          <w:lang w:eastAsia="pt-BR"/>
        </w:rPr>
        <w:t>ABNT NBR 9695 – Pó para extinção de incêndio</w:t>
      </w:r>
    </w:p>
    <w:p w:rsidR="00E666CD" w:rsidRDefault="00E666CD" w:rsidP="002E6674">
      <w:pPr>
        <w:spacing w:after="0" w:line="240" w:lineRule="auto"/>
        <w:contextualSpacing/>
        <w:mirrorIndents/>
        <w:rPr>
          <w:rFonts w:ascii="Arial" w:hAnsi="Arial" w:cs="Arial"/>
          <w:sz w:val="28"/>
          <w:szCs w:val="28"/>
        </w:rPr>
      </w:pPr>
    </w:p>
    <w:p w:rsidR="002E6674" w:rsidRDefault="002E6674" w:rsidP="002E6674">
      <w:pPr>
        <w:spacing w:after="0" w:line="240" w:lineRule="auto"/>
        <w:contextualSpacing/>
        <w:mirrorIndents/>
        <w:rPr>
          <w:rFonts w:ascii="Arial" w:hAnsi="Arial" w:cs="Arial"/>
          <w:sz w:val="28"/>
          <w:szCs w:val="28"/>
        </w:rPr>
      </w:pPr>
    </w:p>
    <w:p w:rsidR="002E6674" w:rsidRDefault="002E6674" w:rsidP="002E6674">
      <w:pPr>
        <w:spacing w:after="0" w:line="240" w:lineRule="auto"/>
        <w:contextualSpacing/>
        <w:mirrorIndents/>
        <w:rPr>
          <w:rFonts w:ascii="Arial" w:hAnsi="Arial" w:cs="Arial"/>
          <w:sz w:val="28"/>
          <w:szCs w:val="28"/>
        </w:rPr>
      </w:pPr>
    </w:p>
    <w:p w:rsidR="002E6674" w:rsidRDefault="002E6674" w:rsidP="002E6674">
      <w:pPr>
        <w:spacing w:after="0" w:line="240" w:lineRule="auto"/>
        <w:contextualSpacing/>
        <w:mirrorIndents/>
        <w:rPr>
          <w:rFonts w:ascii="Arial" w:hAnsi="Arial" w:cs="Arial"/>
          <w:sz w:val="28"/>
          <w:szCs w:val="28"/>
        </w:rPr>
      </w:pPr>
      <w:bookmarkStart w:id="0" w:name="_GoBack"/>
      <w:bookmarkEnd w:id="0"/>
    </w:p>
    <w:p w:rsidR="002E6674" w:rsidRDefault="002E6674" w:rsidP="002E6674">
      <w:pPr>
        <w:spacing w:after="0" w:line="240" w:lineRule="auto"/>
        <w:contextualSpacing/>
        <w:mirrorIndents/>
        <w:rPr>
          <w:rFonts w:ascii="Arial" w:hAnsi="Arial" w:cs="Arial"/>
          <w:sz w:val="28"/>
          <w:szCs w:val="28"/>
        </w:rPr>
      </w:pPr>
    </w:p>
    <w:p w:rsidR="002E6674" w:rsidRDefault="00861530" w:rsidP="00861530">
      <w:pPr>
        <w:spacing w:after="0" w:line="240" w:lineRule="auto"/>
        <w:contextualSpacing/>
        <w:mirrorIndents/>
        <w:jc w:val="center"/>
        <w:rPr>
          <w:rFonts w:ascii="Arial" w:hAnsi="Arial" w:cs="Arial"/>
          <w:sz w:val="28"/>
          <w:szCs w:val="28"/>
        </w:rPr>
      </w:pPr>
      <w:r>
        <w:rPr>
          <w:noProof/>
          <w:lang w:eastAsia="pt-BR"/>
        </w:rPr>
        <w:drawing>
          <wp:inline distT="0" distB="0" distL="0" distR="0" wp14:anchorId="6E0FE358" wp14:editId="57C74051">
            <wp:extent cx="1440159" cy="1416549"/>
            <wp:effectExtent l="0" t="0" r="8255" b="0"/>
            <wp:docPr id="1031" name="Picture 7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7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59" cy="1416549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2E6674" w:rsidRDefault="002E6674" w:rsidP="002E6674">
      <w:pPr>
        <w:spacing w:after="0" w:line="240" w:lineRule="auto"/>
        <w:contextualSpacing/>
        <w:mirrorIndents/>
        <w:jc w:val="center"/>
        <w:rPr>
          <w:rFonts w:ascii="Arial" w:hAnsi="Arial" w:cs="Arial"/>
          <w:sz w:val="28"/>
          <w:szCs w:val="28"/>
        </w:rPr>
      </w:pPr>
    </w:p>
    <w:p w:rsidR="002E6674" w:rsidRDefault="002E6674" w:rsidP="002E6674">
      <w:pPr>
        <w:spacing w:after="0" w:line="240" w:lineRule="auto"/>
        <w:contextualSpacing/>
        <w:mirrorIndents/>
        <w:rPr>
          <w:rFonts w:ascii="Arial" w:hAnsi="Arial" w:cs="Arial"/>
          <w:sz w:val="28"/>
          <w:szCs w:val="28"/>
        </w:rPr>
      </w:pPr>
    </w:p>
    <w:p w:rsidR="002E6674" w:rsidRPr="002E6674" w:rsidRDefault="002E6674" w:rsidP="002E6674">
      <w:pPr>
        <w:spacing w:after="0" w:line="240" w:lineRule="auto"/>
        <w:contextualSpacing/>
        <w:mirrorIndents/>
        <w:jc w:val="center"/>
        <w:rPr>
          <w:rFonts w:ascii="Arial" w:hAnsi="Arial" w:cs="Arial"/>
          <w:b/>
          <w:sz w:val="44"/>
          <w:szCs w:val="28"/>
        </w:rPr>
      </w:pPr>
      <w:r w:rsidRPr="002E6674">
        <w:rPr>
          <w:rFonts w:ascii="Arial" w:hAnsi="Arial" w:cs="Arial"/>
          <w:b/>
          <w:sz w:val="44"/>
          <w:szCs w:val="28"/>
        </w:rPr>
        <w:t>ENCERRAMENTO</w:t>
      </w:r>
    </w:p>
    <w:sectPr w:rsidR="002E6674" w:rsidRPr="002E6674" w:rsidSect="005E4D33">
      <w:headerReference w:type="default" r:id="rId10"/>
      <w:footerReference w:type="default" r:id="rId11"/>
      <w:pgSz w:w="11906" w:h="16838"/>
      <w:pgMar w:top="2836" w:right="720" w:bottom="1418" w:left="1559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6DEA" w:rsidRDefault="00FB6DEA" w:rsidP="00C81068">
      <w:pPr>
        <w:spacing w:after="0" w:line="240" w:lineRule="auto"/>
      </w:pPr>
      <w:r>
        <w:separator/>
      </w:r>
    </w:p>
  </w:endnote>
  <w:endnote w:type="continuationSeparator" w:id="0">
    <w:p w:rsidR="00FB6DEA" w:rsidRDefault="00FB6DEA" w:rsidP="00C81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8839608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2E6674" w:rsidRDefault="002E6674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61530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61530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E6674" w:rsidRDefault="002E667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6DEA" w:rsidRDefault="00FB6DEA" w:rsidP="00C81068">
      <w:pPr>
        <w:spacing w:after="0" w:line="240" w:lineRule="auto"/>
      </w:pPr>
      <w:r>
        <w:separator/>
      </w:r>
    </w:p>
  </w:footnote>
  <w:footnote w:type="continuationSeparator" w:id="0">
    <w:p w:rsidR="00FB6DEA" w:rsidRDefault="00FB6DEA" w:rsidP="00C81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24A6" w:rsidRDefault="00661BB8">
    <w:pPr>
      <w:pStyle w:val="Cabealho"/>
    </w:pPr>
    <w:r>
      <w:rPr>
        <w:rFonts w:ascii="Arial" w:eastAsia="Times New Roman" w:hAnsi="Arial" w:cs="Arial"/>
        <w:noProof/>
        <w:kern w:val="36"/>
        <w:sz w:val="28"/>
        <w:szCs w:val="28"/>
        <w:lang w:eastAsia="pt-BR"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5E82FD4E" wp14:editId="623C732C">
              <wp:simplePos x="0" y="0"/>
              <wp:positionH relativeFrom="margin">
                <wp:posOffset>-989966</wp:posOffset>
              </wp:positionH>
              <wp:positionV relativeFrom="paragraph">
                <wp:posOffset>16728</wp:posOffset>
              </wp:positionV>
              <wp:extent cx="7547335" cy="535940"/>
              <wp:effectExtent l="0" t="0" r="0" b="0"/>
              <wp:wrapNone/>
              <wp:docPr id="15" name="Retâ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7335" cy="53594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:rsidR="00FC2250" w:rsidRPr="00FC2250" w:rsidRDefault="00661BB8" w:rsidP="00661BB8">
                          <w:pPr>
                            <w:spacing w:after="0"/>
                            <w:jc w:val="right"/>
                            <w:rPr>
                              <w:b/>
                              <w:color w:val="FFFFFF" w:themeColor="background1"/>
                              <w:sz w:val="40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40"/>
                            </w:rPr>
                            <w:t>Brigada de Incêndio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E82FD4E" id="Retângulo 15" o:spid="_x0000_s1026" style="position:absolute;margin-left:-77.95pt;margin-top:1.3pt;width:594.3pt;height:42.2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" fillcolor="#c00000" stroked="f" strokeweight="1pt">
              <v:textbox>
                <w:txbxContent>
                  <w:p w:rsidR="00FC2250" w:rsidRPr="00FC2250" w:rsidRDefault="00661BB8" w:rsidP="00661BB8">
                    <w:pPr>
                      <w:spacing w:after="0"/>
                      <w:jc w:val="right"/>
                      <w:rPr>
                        <w:b/>
                        <w:color w:val="FFFFFF" w:themeColor="background1"/>
                        <w:sz w:val="40"/>
                      </w:rPr>
                    </w:pPr>
                    <w:r>
                      <w:rPr>
                        <w:b/>
                        <w:color w:val="FFFFFF" w:themeColor="background1"/>
                        <w:sz w:val="40"/>
                      </w:rPr>
                      <w:t>Brigada de Incêndio</w:t>
                    </w:r>
                  </w:p>
                </w:txbxContent>
              </v:textbox>
              <w10:wrap anchorx="margin"/>
            </v:rect>
          </w:pict>
        </mc:Fallback>
      </mc:AlternateContent>
    </w:r>
  </w:p>
  <w:p w:rsidR="004324A6" w:rsidRDefault="004324A6">
    <w:pPr>
      <w:pStyle w:val="Cabealho"/>
    </w:pPr>
  </w:p>
  <w:p w:rsidR="004324A6" w:rsidRDefault="004324A6">
    <w:pPr>
      <w:pStyle w:val="Cabealho"/>
    </w:pPr>
  </w:p>
  <w:p w:rsidR="004324A6" w:rsidRDefault="004324A6">
    <w:pPr>
      <w:pStyle w:val="Cabealho"/>
    </w:pPr>
  </w:p>
  <w:p w:rsidR="00C81068" w:rsidRDefault="00C8106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261C7"/>
    <w:multiLevelType w:val="multilevel"/>
    <w:tmpl w:val="AD46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C7CF2"/>
    <w:multiLevelType w:val="multilevel"/>
    <w:tmpl w:val="2A2A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501C3"/>
    <w:multiLevelType w:val="multilevel"/>
    <w:tmpl w:val="9AE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569F1"/>
    <w:multiLevelType w:val="multilevel"/>
    <w:tmpl w:val="0518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1055E"/>
    <w:multiLevelType w:val="multilevel"/>
    <w:tmpl w:val="10D8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A5EAB"/>
    <w:multiLevelType w:val="multilevel"/>
    <w:tmpl w:val="392E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6CD"/>
    <w:rsid w:val="002E6674"/>
    <w:rsid w:val="00367B11"/>
    <w:rsid w:val="00424F34"/>
    <w:rsid w:val="004324A6"/>
    <w:rsid w:val="004F703A"/>
    <w:rsid w:val="00535CA1"/>
    <w:rsid w:val="005B06F2"/>
    <w:rsid w:val="005E4D33"/>
    <w:rsid w:val="00646A67"/>
    <w:rsid w:val="00661BB8"/>
    <w:rsid w:val="007755D8"/>
    <w:rsid w:val="00856578"/>
    <w:rsid w:val="00861530"/>
    <w:rsid w:val="00A04C82"/>
    <w:rsid w:val="00C81068"/>
    <w:rsid w:val="00E34725"/>
    <w:rsid w:val="00E40F8E"/>
    <w:rsid w:val="00E666CD"/>
    <w:rsid w:val="00E93FEC"/>
    <w:rsid w:val="00F64470"/>
    <w:rsid w:val="00FB6DEA"/>
    <w:rsid w:val="00FC2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946ED1D-8692-4C5B-A791-05AEF4C3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666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66C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66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666CD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E666CD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C810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81068"/>
  </w:style>
  <w:style w:type="paragraph" w:styleId="Rodap">
    <w:name w:val="footer"/>
    <w:basedOn w:val="Normal"/>
    <w:link w:val="RodapChar"/>
    <w:uiPriority w:val="99"/>
    <w:unhideWhenUsed/>
    <w:rsid w:val="00C810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810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31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6936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sultoriaepericia.com/pericia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condominioemordem.com.br/plano-de-manutencao-predial-se-seu-edificio-nao-possui-esta-em-risc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1748</Words>
  <Characters>9440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17</cp:revision>
  <cp:lastPrinted>2019-08-23T13:56:00Z</cp:lastPrinted>
  <dcterms:created xsi:type="dcterms:W3CDTF">2019-08-22T13:13:00Z</dcterms:created>
  <dcterms:modified xsi:type="dcterms:W3CDTF">2019-08-28T19:16:00Z</dcterms:modified>
</cp:coreProperties>
</file>