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80" w:type="dxa"/>
        <w:tblCellSpacing w:w="0" w:type="dxa"/>
        <w:tblCellMar>
          <w:left w:w="0" w:type="dxa"/>
          <w:right w:w="0" w:type="dxa"/>
        </w:tblCellMar>
        <w:tblLook w:val="04A0" w:firstRow="1" w:lastRow="0" w:firstColumn="1" w:lastColumn="0" w:noHBand="0" w:noVBand="1"/>
      </w:tblPr>
      <w:tblGrid>
        <w:gridCol w:w="11272"/>
        <w:gridCol w:w="8"/>
      </w:tblGrid>
      <w:tr w:rsidR="00CE2B5D" w:rsidRPr="00CE2B5D" w:rsidTr="00CE2B5D">
        <w:trPr>
          <w:tblCellSpacing w:w="0" w:type="dxa"/>
        </w:trPr>
        <w:tc>
          <w:tcPr>
            <w:tcW w:w="0" w:type="auto"/>
            <w:tcBorders>
              <w:top w:val="nil"/>
              <w:left w:val="nil"/>
              <w:bottom w:val="nil"/>
              <w:right w:val="nil"/>
            </w:tcBorders>
            <w:vAlign w:val="center"/>
            <w:hideMark/>
          </w:tcPr>
          <w:p w:rsidR="00CE2B5D" w:rsidRPr="00CE2B5D" w:rsidRDefault="00CE2B5D" w:rsidP="00CE2B5D">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bookmarkStart w:id="0" w:name="_GoBack" w:colFirst="0" w:colLast="0"/>
            <w:r w:rsidRPr="00CE2B5D">
              <w:rPr>
                <w:rFonts w:ascii="Tahoma" w:eastAsia="Times New Roman" w:hAnsi="Tahoma" w:cs="Tahoma"/>
                <w:b/>
                <w:bCs/>
                <w:color w:val="666666"/>
                <w:spacing w:val="15"/>
                <w:sz w:val="20"/>
                <w:szCs w:val="20"/>
                <w:lang w:eastAsia="pt-BR"/>
              </w:rPr>
              <w:t>ECD - Preenchimento da Escrituração Contábil Digital em moeda funcional</w:t>
            </w:r>
          </w:p>
        </w:tc>
        <w:tc>
          <w:tcPr>
            <w:tcW w:w="0" w:type="auto"/>
            <w:tcBorders>
              <w:top w:val="nil"/>
              <w:left w:val="nil"/>
              <w:bottom w:val="nil"/>
              <w:right w:val="nil"/>
            </w:tcBorders>
            <w:vAlign w:val="center"/>
            <w:hideMark/>
          </w:tcPr>
          <w:p w:rsidR="00CE2B5D" w:rsidRPr="00CE2B5D" w:rsidRDefault="00CE2B5D" w:rsidP="00CE2B5D">
            <w:pPr>
              <w:spacing w:after="0" w:line="240" w:lineRule="auto"/>
              <w:rPr>
                <w:rFonts w:ascii="Tahoma" w:eastAsia="Times New Roman" w:hAnsi="Tahoma" w:cs="Tahoma"/>
                <w:color w:val="000000"/>
                <w:spacing w:val="15"/>
                <w:sz w:val="27"/>
                <w:szCs w:val="27"/>
                <w:lang w:eastAsia="pt-BR"/>
              </w:rPr>
            </w:pPr>
          </w:p>
        </w:tc>
      </w:tr>
      <w:bookmarkEnd w:id="0"/>
    </w:tbl>
    <w:p w:rsidR="00CE2B5D" w:rsidRPr="00CE2B5D" w:rsidRDefault="00CE2B5D" w:rsidP="00CE2B5D">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CE2B5D" w:rsidRPr="00CE2B5D" w:rsidTr="00CE2B5D">
        <w:trPr>
          <w:tblCellSpacing w:w="0" w:type="dxa"/>
        </w:trPr>
        <w:tc>
          <w:tcPr>
            <w:tcW w:w="0" w:type="auto"/>
            <w:tcBorders>
              <w:top w:val="nil"/>
              <w:left w:val="nil"/>
              <w:bottom w:val="nil"/>
              <w:right w:val="nil"/>
            </w:tcBorders>
            <w:vAlign w:val="center"/>
            <w:hideMark/>
          </w:tcPr>
          <w:p w:rsidR="00CE2B5D" w:rsidRPr="00CE2B5D" w:rsidRDefault="00CE2B5D" w:rsidP="00CE2B5D">
            <w:pPr>
              <w:spacing w:after="0" w:line="240" w:lineRule="auto"/>
              <w:rPr>
                <w:rFonts w:ascii="Tahoma" w:eastAsia="Times New Roman" w:hAnsi="Tahoma" w:cs="Tahoma"/>
                <w:color w:val="333333"/>
                <w:spacing w:val="15"/>
                <w:sz w:val="20"/>
                <w:szCs w:val="20"/>
                <w:lang w:eastAsia="pt-BR"/>
              </w:rPr>
            </w:pPr>
            <w:r w:rsidRPr="00CE2B5D">
              <w:rPr>
                <w:rFonts w:ascii="Tahoma" w:eastAsia="Times New Roman" w:hAnsi="Tahoma" w:cs="Tahoma"/>
                <w:b/>
                <w:bCs/>
                <w:color w:val="333333"/>
                <w:spacing w:val="15"/>
                <w:sz w:val="24"/>
                <w:szCs w:val="24"/>
                <w:bdr w:val="none" w:sz="0" w:space="0" w:color="auto" w:frame="1"/>
                <w:lang w:eastAsia="pt-BR"/>
              </w:rPr>
              <w:t>Resumo: </w:t>
            </w:r>
            <w:r w:rsidRPr="00CE2B5D">
              <w:rPr>
                <w:rFonts w:ascii="Tahoma" w:eastAsia="Times New Roman" w:hAnsi="Tahoma" w:cs="Tahoma"/>
                <w:color w:val="333333"/>
                <w:spacing w:val="15"/>
                <w:sz w:val="20"/>
                <w:szCs w:val="20"/>
                <w:lang w:eastAsia="pt-BR"/>
              </w:rPr>
              <w:t>Este procedimento trata sobre o preenchimento da Escrituração Contábil Digital (ECD) em moeda funcional.</w:t>
            </w:r>
          </w:p>
        </w:tc>
      </w:tr>
    </w:tbl>
    <w:p w:rsidR="00CE2B5D" w:rsidRPr="00CE2B5D" w:rsidRDefault="00CE2B5D" w:rsidP="00CE2B5D">
      <w:pPr>
        <w:spacing w:after="0" w:line="240" w:lineRule="auto"/>
        <w:rPr>
          <w:rFonts w:ascii="Times New Roman" w:eastAsia="Times New Roman" w:hAnsi="Times New Roman" w:cs="Times New Roman"/>
          <w:sz w:val="24"/>
          <w:szCs w:val="24"/>
          <w:lang w:eastAsia="pt-BR"/>
        </w:rPr>
      </w:pPr>
    </w:p>
    <w:tbl>
      <w:tblPr>
        <w:tblW w:w="0" w:type="auto"/>
        <w:tblCellSpacing w:w="0" w:type="dxa"/>
        <w:tblCellMar>
          <w:left w:w="0" w:type="dxa"/>
          <w:right w:w="0" w:type="dxa"/>
        </w:tblCellMar>
        <w:tblLook w:val="04A0" w:firstRow="1" w:lastRow="0" w:firstColumn="1" w:lastColumn="0" w:noHBand="0" w:noVBand="1"/>
      </w:tblPr>
      <w:tblGrid>
        <w:gridCol w:w="1016"/>
      </w:tblGrid>
      <w:tr w:rsidR="00CE2B5D" w:rsidRPr="00CE2B5D" w:rsidTr="00CE2B5D">
        <w:trPr>
          <w:tblCellSpacing w:w="0" w:type="dxa"/>
        </w:trPr>
        <w:tc>
          <w:tcPr>
            <w:tcW w:w="0" w:type="auto"/>
            <w:tcBorders>
              <w:top w:val="nil"/>
              <w:left w:val="nil"/>
              <w:bottom w:val="nil"/>
              <w:right w:val="nil"/>
            </w:tcBorders>
            <w:vAlign w:val="center"/>
            <w:hideMark/>
          </w:tcPr>
          <w:p w:rsidR="00CE2B5D" w:rsidRPr="00CE2B5D" w:rsidRDefault="00CE2B5D" w:rsidP="00CE2B5D">
            <w:pPr>
              <w:pBdr>
                <w:top w:val="dotted" w:sz="6" w:space="8" w:color="9C2631"/>
                <w:bottom w:val="dotted" w:sz="6" w:space="8" w:color="9C2631"/>
              </w:pBdr>
              <w:spacing w:before="225" w:after="0" w:line="240" w:lineRule="auto"/>
              <w:ind w:left="75"/>
              <w:outlineLvl w:val="3"/>
              <w:rPr>
                <w:rFonts w:ascii="Tahoma" w:eastAsia="Times New Roman" w:hAnsi="Tahoma" w:cs="Tahoma"/>
                <w:b/>
                <w:bCs/>
                <w:color w:val="333333"/>
                <w:spacing w:val="15"/>
                <w:sz w:val="20"/>
                <w:szCs w:val="20"/>
                <w:lang w:eastAsia="pt-BR"/>
              </w:rPr>
            </w:pPr>
            <w:r w:rsidRPr="00CE2B5D">
              <w:rPr>
                <w:rFonts w:ascii="Tahoma" w:eastAsia="Times New Roman" w:hAnsi="Tahoma" w:cs="Tahoma"/>
                <w:b/>
                <w:bCs/>
                <w:color w:val="333333"/>
                <w:spacing w:val="15"/>
                <w:sz w:val="20"/>
                <w:szCs w:val="20"/>
                <w:lang w:eastAsia="pt-BR"/>
              </w:rPr>
              <w:t>Sumário</w:t>
            </w:r>
          </w:p>
        </w:tc>
      </w:tr>
    </w:tbl>
    <w:p w:rsidR="00CE2B5D" w:rsidRPr="00CE2B5D" w:rsidRDefault="00CE2B5D" w:rsidP="00CE2B5D">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CE2B5D" w:rsidRPr="00CE2B5D" w:rsidTr="00CE2B5D">
        <w:trPr>
          <w:tblCellSpacing w:w="0" w:type="dxa"/>
        </w:trPr>
        <w:tc>
          <w:tcPr>
            <w:tcW w:w="4700" w:type="pct"/>
            <w:tcBorders>
              <w:top w:val="nil"/>
              <w:left w:val="nil"/>
              <w:bottom w:val="nil"/>
              <w:right w:val="nil"/>
            </w:tcBorders>
            <w:vAlign w:val="center"/>
            <w:hideMark/>
          </w:tcPr>
          <w:p w:rsidR="00CE2B5D" w:rsidRPr="00CE2B5D" w:rsidRDefault="00CE2B5D" w:rsidP="00CE2B5D">
            <w:pPr>
              <w:spacing w:after="0" w:line="240" w:lineRule="auto"/>
              <w:rPr>
                <w:rFonts w:ascii="Tahoma" w:eastAsia="Times New Roman" w:hAnsi="Tahoma" w:cs="Tahoma"/>
                <w:color w:val="000000"/>
                <w:spacing w:val="15"/>
                <w:sz w:val="27"/>
                <w:szCs w:val="27"/>
                <w:lang w:eastAsia="pt-BR"/>
              </w:rPr>
            </w:pPr>
            <w:hyperlink r:id="rId5" w:anchor="pcir-011176-1" w:history="1">
              <w:r w:rsidRPr="00CE2B5D">
                <w:rPr>
                  <w:rFonts w:ascii="Tahoma" w:eastAsia="Times New Roman" w:hAnsi="Tahoma" w:cs="Tahoma"/>
                  <w:b/>
                  <w:bCs/>
                  <w:color w:val="333333"/>
                  <w:spacing w:val="15"/>
                  <w:sz w:val="20"/>
                  <w:szCs w:val="20"/>
                  <w:u w:val="single"/>
                  <w:bdr w:val="none" w:sz="0" w:space="0" w:color="auto" w:frame="1"/>
                  <w:lang w:eastAsia="pt-BR"/>
                </w:rPr>
                <w:t>1. Preenchimento da Escrituração Contábil Digital em moeda funcional</w:t>
              </w:r>
            </w:hyperlink>
          </w:p>
        </w:tc>
      </w:tr>
    </w:tbl>
    <w:p w:rsidR="00CE2B5D" w:rsidRPr="00CE2B5D" w:rsidRDefault="00CE2B5D" w:rsidP="00CE2B5D">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CE2B5D" w:rsidRPr="00CE2B5D" w:rsidTr="00CE2B5D">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CE2B5D" w:rsidRPr="00CE2B5D">
              <w:trPr>
                <w:tblCellSpacing w:w="0" w:type="dxa"/>
              </w:trPr>
              <w:tc>
                <w:tcPr>
                  <w:tcW w:w="0" w:type="auto"/>
                  <w:tcBorders>
                    <w:top w:val="nil"/>
                    <w:left w:val="nil"/>
                    <w:bottom w:val="nil"/>
                    <w:right w:val="nil"/>
                  </w:tcBorders>
                  <w:vAlign w:val="center"/>
                  <w:hideMark/>
                </w:tcPr>
                <w:bookmarkStart w:id="1" w:name="pcir-011176-1"/>
                <w:bookmarkEnd w:id="1"/>
                <w:p w:rsidR="00CE2B5D" w:rsidRPr="00CE2B5D" w:rsidRDefault="00CE2B5D" w:rsidP="00CE2B5D">
                  <w:pPr>
                    <w:spacing w:after="0" w:line="240" w:lineRule="auto"/>
                    <w:rPr>
                      <w:rFonts w:ascii="Times New Roman" w:eastAsia="Times New Roman" w:hAnsi="Times New Roman" w:cs="Times New Roman"/>
                      <w:color w:val="333333"/>
                      <w:sz w:val="20"/>
                      <w:szCs w:val="20"/>
                      <w:lang w:eastAsia="pt-BR"/>
                    </w:rPr>
                  </w:pPr>
                  <w:r w:rsidRPr="00CE2B5D">
                    <w:rPr>
                      <w:rFonts w:ascii="Times New Roman" w:eastAsia="Times New Roman" w:hAnsi="Times New Roman" w:cs="Times New Roman"/>
                      <w:color w:val="333333"/>
                      <w:sz w:val="20"/>
                      <w:szCs w:val="20"/>
                      <w:lang w:eastAsia="pt-BR"/>
                    </w:rPr>
                    <w:fldChar w:fldCharType="begin"/>
                  </w:r>
                  <w:r w:rsidRPr="00CE2B5D">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"https://www.iobonline.com.br/pages/coreonline/coreonlineDocuments.jsf?il=y&amp;ls=3&amp;docFieldName=destino&amp;docFieldValue=PCIR-011176" </w:instrText>
                  </w:r>
                  <w:r w:rsidRPr="00CE2B5D">
                    <w:rPr>
                      <w:rFonts w:ascii="Times New Roman" w:eastAsia="Times New Roman" w:hAnsi="Times New Roman" w:cs="Times New Roman"/>
                      <w:color w:val="333333"/>
                      <w:sz w:val="20"/>
                      <w:szCs w:val="20"/>
                      <w:lang w:eastAsia="pt-BR"/>
                    </w:rPr>
                    <w:fldChar w:fldCharType="separate"/>
                  </w:r>
                  <w:r w:rsidRPr="00CE2B5D">
                    <w:rPr>
                      <w:rFonts w:ascii="Tahoma" w:eastAsia="Times New Roman" w:hAnsi="Tahoma" w:cs="Tahoma"/>
                      <w:b/>
                      <w:bCs/>
                      <w:color w:val="333333"/>
                      <w:spacing w:val="15"/>
                      <w:sz w:val="17"/>
                      <w:szCs w:val="17"/>
                      <w:u w:val="single"/>
                      <w:bdr w:val="none" w:sz="0" w:space="0" w:color="auto" w:frame="1"/>
                      <w:lang w:eastAsia="pt-BR"/>
                    </w:rPr>
                    <w:t>Retornar ao Sumário</w:t>
                  </w:r>
                  <w:r w:rsidRPr="00CE2B5D">
                    <w:rPr>
                      <w:rFonts w:ascii="Times New Roman" w:eastAsia="Times New Roman" w:hAnsi="Times New Roman" w:cs="Times New Roman"/>
                      <w:color w:val="333333"/>
                      <w:sz w:val="20"/>
                      <w:szCs w:val="20"/>
                      <w:lang w:eastAsia="pt-BR"/>
                    </w:rPr>
                    <w:fldChar w:fldCharType="end"/>
                  </w:r>
                </w:p>
                <w:p w:rsidR="00CE2B5D" w:rsidRPr="00CE2B5D" w:rsidRDefault="00CE2B5D" w:rsidP="00CE2B5D">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CE2B5D">
                    <w:rPr>
                      <w:rFonts w:ascii="Tahoma" w:eastAsia="Times New Roman" w:hAnsi="Tahoma" w:cs="Tahoma"/>
                      <w:b/>
                      <w:bCs/>
                      <w:color w:val="333333"/>
                      <w:spacing w:val="15"/>
                      <w:sz w:val="20"/>
                      <w:szCs w:val="20"/>
                      <w:lang w:eastAsia="pt-BR"/>
                    </w:rPr>
                    <w:t>1. Preenchimento da Escrituração Contábil Digital em moeda funcional</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 xml:space="preserve">Inicialmente, esclarecemos que, na Escrituração Contábil Digital (ECD), todos os valores devem estar expressos em reais (R$), tendo em vista que a legislação societária brasileira exige que o registro contábil das operações </w:t>
                  </w:r>
                  <w:proofErr w:type="gramStart"/>
                  <w:r w:rsidRPr="00CE2B5D">
                    <w:rPr>
                      <w:rFonts w:ascii="Tahoma" w:eastAsia="Times New Roman" w:hAnsi="Tahoma" w:cs="Tahoma"/>
                      <w:color w:val="333333"/>
                      <w:spacing w:val="15"/>
                      <w:sz w:val="20"/>
                      <w:szCs w:val="20"/>
                      <w:lang w:eastAsia="pt-BR"/>
                    </w:rPr>
                    <w:t>deve</w:t>
                  </w:r>
                  <w:proofErr w:type="gramEnd"/>
                  <w:r w:rsidRPr="00CE2B5D">
                    <w:rPr>
                      <w:rFonts w:ascii="Tahoma" w:eastAsia="Times New Roman" w:hAnsi="Tahoma" w:cs="Tahoma"/>
                      <w:color w:val="333333"/>
                      <w:spacing w:val="15"/>
                      <w:sz w:val="20"/>
                      <w:szCs w:val="20"/>
                      <w:lang w:eastAsia="pt-BR"/>
                    </w:rPr>
                    <w:t xml:space="preserve"> ser executada em moeda nacional.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Para fins contábeis, deve-se observar o disposto do Pronunciamento Técnico CPC 02 (NBC TG 02), cujo objetivo é orientar acerca de como incluir transações em moeda estrangeira e operações no exterior nas demonstrações contábeis da entidade e como converter demonstrações contábeis para moeda de apresentação, ou seja, considerar a moeda funcional.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 xml:space="preserve">Nesse sentido, esclarece o CPC 02 que moeda funcional é a moeda do ambiente econômico principal no qual a entidade </w:t>
                  </w:r>
                  <w:proofErr w:type="gramStart"/>
                  <w:r w:rsidRPr="00CE2B5D">
                    <w:rPr>
                      <w:rFonts w:ascii="Tahoma" w:eastAsia="Times New Roman" w:hAnsi="Tahoma" w:cs="Tahoma"/>
                      <w:color w:val="333333"/>
                      <w:spacing w:val="15"/>
                      <w:sz w:val="20"/>
                      <w:szCs w:val="20"/>
                      <w:lang w:eastAsia="pt-BR"/>
                    </w:rPr>
                    <w:t>opera,</w:t>
                  </w:r>
                  <w:proofErr w:type="gramEnd"/>
                  <w:r w:rsidRPr="00CE2B5D">
                    <w:rPr>
                      <w:rFonts w:ascii="Tahoma" w:eastAsia="Times New Roman" w:hAnsi="Tahoma" w:cs="Tahoma"/>
                      <w:color w:val="333333"/>
                      <w:spacing w:val="15"/>
                      <w:sz w:val="20"/>
                      <w:szCs w:val="20"/>
                      <w:lang w:eastAsia="pt-BR"/>
                    </w:rPr>
                    <w:t xml:space="preserve"> que é, em geral, e com raras exceções, aquele em que ela fundamentalmente gera e desembolsa caixa.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Cabe observar que a entidade deve considerar os seguintes fatores na determinação de sua moeda funcional:</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E2B5D" w:rsidRPr="00CE2B5D">
                    <w:trPr>
                      <w:tblCellSpacing w:w="15" w:type="dxa"/>
                    </w:trPr>
                    <w:tc>
                      <w:tcPr>
                        <w:tcW w:w="150" w:type="pct"/>
                        <w:tcBorders>
                          <w:top w:val="nil"/>
                          <w:left w:val="nil"/>
                          <w:bottom w:val="nil"/>
                          <w:right w:val="nil"/>
                        </w:tcBorders>
                        <w:vAlign w:val="center"/>
                        <w:hideMark/>
                      </w:tcPr>
                      <w:p w:rsidR="00CE2B5D" w:rsidRPr="00CE2B5D" w:rsidRDefault="00CE2B5D" w:rsidP="00CE2B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E2B5D" w:rsidRPr="00CE2B5D" w:rsidRDefault="00CE2B5D" w:rsidP="00CE2B5D">
                        <w:pPr>
                          <w:spacing w:after="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a) a moeda que mais influencia os preços de bens e serviços (geralmente, será a moeda na qual o preço de venda de seus produtos e serviços está expresso e acertado);</w:t>
                        </w:r>
                      </w:p>
                    </w:tc>
                  </w:tr>
                </w:tbl>
                <w:p w:rsidR="00CE2B5D" w:rsidRPr="00CE2B5D" w:rsidRDefault="00CE2B5D" w:rsidP="00CE2B5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E2B5D" w:rsidRPr="00CE2B5D">
                    <w:trPr>
                      <w:tblCellSpacing w:w="15" w:type="dxa"/>
                    </w:trPr>
                    <w:tc>
                      <w:tcPr>
                        <w:tcW w:w="150" w:type="pct"/>
                        <w:tcBorders>
                          <w:top w:val="nil"/>
                          <w:left w:val="nil"/>
                          <w:bottom w:val="nil"/>
                          <w:right w:val="nil"/>
                        </w:tcBorders>
                        <w:vAlign w:val="center"/>
                        <w:hideMark/>
                      </w:tcPr>
                      <w:p w:rsidR="00CE2B5D" w:rsidRPr="00CE2B5D" w:rsidRDefault="00CE2B5D" w:rsidP="00CE2B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E2B5D" w:rsidRPr="00CE2B5D" w:rsidRDefault="00CE2B5D" w:rsidP="00CE2B5D">
                        <w:pPr>
                          <w:spacing w:after="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 xml:space="preserve">b) a moeda do país cujas forças competitivas e regulamentos mais influenciam na determinação do preço de venda de seus produtos ou serviços; </w:t>
                        </w:r>
                        <w:proofErr w:type="gramStart"/>
                        <w:r w:rsidRPr="00CE2B5D">
                          <w:rPr>
                            <w:rFonts w:ascii="Tahoma" w:eastAsia="Times New Roman" w:hAnsi="Tahoma" w:cs="Tahoma"/>
                            <w:color w:val="333333"/>
                            <w:spacing w:val="15"/>
                            <w:sz w:val="20"/>
                            <w:szCs w:val="20"/>
                            <w:lang w:eastAsia="pt-BR"/>
                          </w:rPr>
                          <w:t>e</w:t>
                        </w:r>
                        <w:proofErr w:type="gramEnd"/>
                      </w:p>
                    </w:tc>
                  </w:tr>
                </w:tbl>
                <w:p w:rsidR="00CE2B5D" w:rsidRPr="00CE2B5D" w:rsidRDefault="00CE2B5D" w:rsidP="00CE2B5D">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CE2B5D" w:rsidRPr="00CE2B5D">
                    <w:trPr>
                      <w:tblCellSpacing w:w="15" w:type="dxa"/>
                    </w:trPr>
                    <w:tc>
                      <w:tcPr>
                        <w:tcW w:w="150" w:type="pct"/>
                        <w:tcBorders>
                          <w:top w:val="nil"/>
                          <w:left w:val="nil"/>
                          <w:bottom w:val="nil"/>
                          <w:right w:val="nil"/>
                        </w:tcBorders>
                        <w:vAlign w:val="center"/>
                        <w:hideMark/>
                      </w:tcPr>
                      <w:p w:rsidR="00CE2B5D" w:rsidRPr="00CE2B5D" w:rsidRDefault="00CE2B5D" w:rsidP="00CE2B5D">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CE2B5D" w:rsidRPr="00CE2B5D" w:rsidRDefault="00CE2B5D" w:rsidP="00CE2B5D">
                        <w:pPr>
                          <w:spacing w:after="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c) a moeda que mais influencia mão de obra, material e outros custos para o fornecimento de produtos ou serviços (em geral, será a moeda na qual tais custos estão expressos e são liquidados).</w:t>
                        </w:r>
                      </w:p>
                    </w:tc>
                  </w:tr>
                </w:tbl>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As pessoas jurídicas obrigadas a transmitir, via Sped, a escrituração em moeda funcional diferente da moeda nacional e que, nos termos do art. </w:t>
                  </w:r>
                  <w:hyperlink r:id="rId6" w:anchor="fe+in+rfb+1700+2017@art286" w:tgtFrame="_parent" w:history="1">
                    <w:r w:rsidRPr="00CE2B5D">
                      <w:rPr>
                        <w:rFonts w:ascii="Verdana" w:eastAsia="Times New Roman" w:hAnsi="Verdana" w:cs="Tahoma"/>
                        <w:b/>
                        <w:bCs/>
                        <w:color w:val="333333"/>
                        <w:spacing w:val="15"/>
                        <w:sz w:val="20"/>
                        <w:szCs w:val="20"/>
                        <w:u w:val="single"/>
                        <w:bdr w:val="none" w:sz="0" w:space="0" w:color="auto" w:frame="1"/>
                        <w:lang w:eastAsia="pt-BR"/>
                      </w:rPr>
                      <w:t>286</w:t>
                    </w:r>
                  </w:hyperlink>
                  <w:r w:rsidRPr="00CE2B5D">
                    <w:rPr>
                      <w:rFonts w:ascii="Tahoma" w:eastAsia="Times New Roman" w:hAnsi="Tahoma" w:cs="Tahoma"/>
                      <w:color w:val="333333"/>
                      <w:spacing w:val="15"/>
                      <w:sz w:val="20"/>
                      <w:szCs w:val="20"/>
                      <w:lang w:eastAsia="pt-BR"/>
                    </w:rPr>
                    <w:t> da </w:t>
                  </w:r>
                  <w:r w:rsidRPr="00CE2B5D">
                    <w:rPr>
                      <w:rFonts w:ascii="Tahoma" w:eastAsia="Times New Roman" w:hAnsi="Tahoma" w:cs="Tahoma"/>
                      <w:color w:val="333333"/>
                      <w:spacing w:val="15"/>
                      <w:sz w:val="20"/>
                      <w:szCs w:val="20"/>
                      <w:bdr w:val="none" w:sz="0" w:space="0" w:color="auto" w:frame="1"/>
                      <w:lang w:eastAsia="pt-BR"/>
                    </w:rPr>
                    <w:t>Instrução Normativa RFB nº </w:t>
                  </w:r>
                  <w:hyperlink r:id="rId7" w:anchor="fe+in+rfb+1700+2017" w:tgtFrame="_parent" w:history="1">
                    <w:r w:rsidRPr="00CE2B5D">
                      <w:rPr>
                        <w:rFonts w:ascii="Verdana" w:eastAsia="Times New Roman" w:hAnsi="Verdana" w:cs="Tahoma"/>
                        <w:b/>
                        <w:bCs/>
                        <w:color w:val="333333"/>
                        <w:spacing w:val="15"/>
                        <w:sz w:val="20"/>
                        <w:szCs w:val="20"/>
                        <w:u w:val="single"/>
                        <w:bdr w:val="none" w:sz="0" w:space="0" w:color="auto" w:frame="1"/>
                        <w:lang w:eastAsia="pt-BR"/>
                      </w:rPr>
                      <w:t>1.700/2017</w:t>
                    </w:r>
                  </w:hyperlink>
                  <w:proofErr w:type="gramStart"/>
                  <w:r w:rsidRPr="00CE2B5D">
                    <w:rPr>
                      <w:rFonts w:ascii="Tahoma" w:eastAsia="Times New Roman" w:hAnsi="Tahoma" w:cs="Tahoma"/>
                      <w:color w:val="333333"/>
                      <w:spacing w:val="15"/>
                      <w:sz w:val="20"/>
                      <w:szCs w:val="20"/>
                      <w:bdr w:val="none" w:sz="0" w:space="0" w:color="auto" w:frame="1"/>
                      <w:lang w:eastAsia="pt-BR"/>
                    </w:rPr>
                    <w:t> </w:t>
                  </w:r>
                  <w:r w:rsidRPr="00CE2B5D">
                    <w:rPr>
                      <w:rFonts w:ascii="Tahoma" w:eastAsia="Times New Roman" w:hAnsi="Tahoma" w:cs="Tahoma"/>
                      <w:color w:val="333333"/>
                      <w:spacing w:val="15"/>
                      <w:sz w:val="20"/>
                      <w:szCs w:val="20"/>
                      <w:lang w:eastAsia="pt-BR"/>
                    </w:rPr>
                    <w:t>,</w:t>
                  </w:r>
                  <w:proofErr w:type="gramEnd"/>
                  <w:r w:rsidRPr="00CE2B5D">
                    <w:rPr>
                      <w:rFonts w:ascii="Tahoma" w:eastAsia="Times New Roman" w:hAnsi="Tahoma" w:cs="Tahoma"/>
                      <w:color w:val="333333"/>
                      <w:spacing w:val="15"/>
                      <w:sz w:val="20"/>
                      <w:szCs w:val="20"/>
                      <w:lang w:eastAsia="pt-BR"/>
                    </w:rPr>
                    <w:t xml:space="preserve"> são obrigadas a transmitir, para fins tributários, escrituração com base na moeda nacional, deverão preencher o campo identificação de moeda funcional do registro 0000 (0000.IDENT_MF) com "S" (Sim) constante no leiaute 4.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Quando o campo de registro "</w:t>
                  </w:r>
                  <w:proofErr w:type="gramStart"/>
                  <w:r w:rsidRPr="00CE2B5D">
                    <w:rPr>
                      <w:rFonts w:ascii="Tahoma" w:eastAsia="Times New Roman" w:hAnsi="Tahoma" w:cs="Tahoma"/>
                      <w:color w:val="333333"/>
                      <w:spacing w:val="15"/>
                      <w:sz w:val="20"/>
                      <w:szCs w:val="20"/>
                      <w:lang w:eastAsia="pt-BR"/>
                    </w:rPr>
                    <w:t>0000.</w:t>
                  </w:r>
                  <w:proofErr w:type="gramEnd"/>
                  <w:r w:rsidRPr="00CE2B5D">
                    <w:rPr>
                      <w:rFonts w:ascii="Tahoma" w:eastAsia="Times New Roman" w:hAnsi="Tahoma" w:cs="Tahoma"/>
                      <w:color w:val="333333"/>
                      <w:spacing w:val="15"/>
                      <w:sz w:val="20"/>
                      <w:szCs w:val="20"/>
                      <w:lang w:eastAsia="pt-BR"/>
                    </w:rPr>
                    <w:t>IDENT_MF" for igual a "S", os campos já existentes nos registros I155 (Detalhe dos saldos periódicos), I157 (Transferência de saldos de plano de contas anterior), I200 (Lançamento contábil), I250 (Partidas do lançamento), I310 (Detalhes do balancete diário) e I355 (Detalhes dos saldos das contas de resultado antes do encerramento) deverão ser preenchidos com os valores determinados com base em moeda nacional, atendendo ao disposto nos arts. </w:t>
                  </w:r>
                  <w:hyperlink r:id="rId8" w:anchor="fe+in+rfb+1700+2017@art286" w:tgtFrame="_parent" w:history="1">
                    <w:r w:rsidRPr="00CE2B5D">
                      <w:rPr>
                        <w:rFonts w:ascii="Verdana" w:eastAsia="Times New Roman" w:hAnsi="Verdana" w:cs="Tahoma"/>
                        <w:b/>
                        <w:bCs/>
                        <w:color w:val="333333"/>
                        <w:spacing w:val="15"/>
                        <w:sz w:val="20"/>
                        <w:szCs w:val="20"/>
                        <w:u w:val="single"/>
                        <w:bdr w:val="none" w:sz="0" w:space="0" w:color="auto" w:frame="1"/>
                        <w:lang w:eastAsia="pt-BR"/>
                      </w:rPr>
                      <w:t>286</w:t>
                    </w:r>
                  </w:hyperlink>
                  <w:r w:rsidRPr="00CE2B5D">
                    <w:rPr>
                      <w:rFonts w:ascii="Tahoma" w:eastAsia="Times New Roman" w:hAnsi="Tahoma" w:cs="Tahoma"/>
                      <w:color w:val="333333"/>
                      <w:spacing w:val="15"/>
                      <w:sz w:val="20"/>
                      <w:szCs w:val="20"/>
                      <w:lang w:eastAsia="pt-BR"/>
                    </w:rPr>
                    <w:t> e </w:t>
                  </w:r>
                  <w:hyperlink r:id="rId9" w:anchor="fe+in+rfb+1700+2017@art287" w:tgtFrame="_parent" w:history="1">
                    <w:r w:rsidRPr="00CE2B5D">
                      <w:rPr>
                        <w:rFonts w:ascii="Verdana" w:eastAsia="Times New Roman" w:hAnsi="Verdana" w:cs="Tahoma"/>
                        <w:b/>
                        <w:bCs/>
                        <w:color w:val="333333"/>
                        <w:spacing w:val="15"/>
                        <w:sz w:val="20"/>
                        <w:szCs w:val="20"/>
                        <w:u w:val="single"/>
                        <w:bdr w:val="none" w:sz="0" w:space="0" w:color="auto" w:frame="1"/>
                        <w:lang w:eastAsia="pt-BR"/>
                      </w:rPr>
                      <w:t>287</w:t>
                    </w:r>
                  </w:hyperlink>
                  <w:r w:rsidRPr="00CE2B5D">
                    <w:rPr>
                      <w:rFonts w:ascii="Tahoma" w:eastAsia="Times New Roman" w:hAnsi="Tahoma" w:cs="Tahoma"/>
                      <w:color w:val="333333"/>
                      <w:spacing w:val="15"/>
                      <w:sz w:val="20"/>
                      <w:szCs w:val="20"/>
                      <w:lang w:eastAsia="pt-BR"/>
                    </w:rPr>
                    <w:t> da Instrução Normativa RFB nº </w:t>
                  </w:r>
                  <w:hyperlink r:id="rId10" w:anchor="fe+in+rfb+1700+2017" w:tgtFrame="_parent" w:history="1">
                    <w:r w:rsidRPr="00CE2B5D">
                      <w:rPr>
                        <w:rFonts w:ascii="Verdana" w:eastAsia="Times New Roman" w:hAnsi="Verdana" w:cs="Tahoma"/>
                        <w:b/>
                        <w:bCs/>
                        <w:color w:val="333333"/>
                        <w:spacing w:val="15"/>
                        <w:sz w:val="20"/>
                        <w:szCs w:val="20"/>
                        <w:u w:val="single"/>
                        <w:bdr w:val="none" w:sz="0" w:space="0" w:color="auto" w:frame="1"/>
                        <w:lang w:eastAsia="pt-BR"/>
                      </w:rPr>
                      <w:t>1.700/2017</w:t>
                    </w:r>
                  </w:hyperlink>
                  <w:r w:rsidRPr="00CE2B5D">
                    <w:rPr>
                      <w:rFonts w:ascii="Tahoma" w:eastAsia="Times New Roman" w:hAnsi="Tahoma" w:cs="Tahoma"/>
                      <w:color w:val="333333"/>
                      <w:spacing w:val="15"/>
                      <w:sz w:val="20"/>
                      <w:szCs w:val="20"/>
                      <w:lang w:eastAsia="pt-BR"/>
                    </w:rPr>
                    <w:t> .</w:t>
                  </w: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CE2B5D" w:rsidRPr="00CE2B5D">
                    <w:trPr>
                      <w:trHeight w:val="75"/>
                      <w:tblCellSpacing w:w="15" w:type="dxa"/>
                    </w:trPr>
                    <w:tc>
                      <w:tcPr>
                        <w:tcW w:w="600" w:type="dxa"/>
                        <w:tcBorders>
                          <w:top w:val="nil"/>
                          <w:left w:val="nil"/>
                          <w:bottom w:val="nil"/>
                          <w:right w:val="nil"/>
                        </w:tcBorders>
                        <w:vAlign w:val="center"/>
                        <w:hideMark/>
                      </w:tcPr>
                      <w:p w:rsidR="00CE2B5D" w:rsidRPr="00CE2B5D" w:rsidRDefault="00CE2B5D" w:rsidP="00CE2B5D">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CE2B5D" w:rsidRPr="00CE2B5D" w:rsidRDefault="00CE2B5D" w:rsidP="00CE2B5D">
                        <w:pPr>
                          <w:spacing w:after="0" w:line="75" w:lineRule="atLeast"/>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Art. 286. A pessoa jurídica deverá, para fins tributários, reconhecer e mensurar os seus ativos, passivos, receitas, custos, despesas, ganhos, perdas e rendimentos com base na moeda nacional.</w:t>
                        </w:r>
                      </w:p>
                    </w:tc>
                  </w:tr>
                </w:tbl>
                <w:p w:rsidR="00CE2B5D" w:rsidRPr="00CE2B5D" w:rsidRDefault="00CE2B5D" w:rsidP="00CE2B5D">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CE2B5D" w:rsidRPr="00CE2B5D">
                    <w:trPr>
                      <w:trHeight w:val="75"/>
                      <w:tblCellSpacing w:w="15" w:type="dxa"/>
                    </w:trPr>
                    <w:tc>
                      <w:tcPr>
                        <w:tcW w:w="600" w:type="dxa"/>
                        <w:tcBorders>
                          <w:top w:val="nil"/>
                          <w:left w:val="nil"/>
                          <w:bottom w:val="nil"/>
                          <w:right w:val="nil"/>
                        </w:tcBorders>
                        <w:vAlign w:val="center"/>
                        <w:hideMark/>
                      </w:tcPr>
                      <w:p w:rsidR="00CE2B5D" w:rsidRPr="00CE2B5D" w:rsidRDefault="00CE2B5D" w:rsidP="00CE2B5D">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CE2B5D" w:rsidRPr="00CE2B5D" w:rsidRDefault="00CE2B5D" w:rsidP="00CE2B5D">
                        <w:pPr>
                          <w:spacing w:after="0" w:line="75" w:lineRule="atLeast"/>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Art. 287. A pessoa jurídica que no período de apuração adotar, para fins societários, moeda funcional diferente da moeda nacional deverá elaborar, para fins tributários, escrituração contábil com base na moeda nacional, observado o disposto no art. 286.</w:t>
                        </w:r>
                      </w:p>
                    </w:tc>
                  </w:tr>
                </w:tbl>
                <w:p w:rsidR="00CE2B5D" w:rsidRPr="00CE2B5D" w:rsidRDefault="00CE2B5D" w:rsidP="00CE2B5D">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CE2B5D" w:rsidRPr="00CE2B5D">
                    <w:trPr>
                      <w:trHeight w:val="75"/>
                      <w:tblCellSpacing w:w="15" w:type="dxa"/>
                    </w:trPr>
                    <w:tc>
                      <w:tcPr>
                        <w:tcW w:w="600" w:type="dxa"/>
                        <w:tcBorders>
                          <w:top w:val="nil"/>
                          <w:left w:val="nil"/>
                          <w:bottom w:val="nil"/>
                          <w:right w:val="nil"/>
                        </w:tcBorders>
                        <w:vAlign w:val="center"/>
                        <w:hideMark/>
                      </w:tcPr>
                      <w:p w:rsidR="00CE2B5D" w:rsidRPr="00CE2B5D" w:rsidRDefault="00CE2B5D" w:rsidP="00CE2B5D">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CE2B5D" w:rsidRPr="00CE2B5D" w:rsidRDefault="00CE2B5D" w:rsidP="00CE2B5D">
                        <w:pPr>
                          <w:spacing w:after="0" w:line="75" w:lineRule="atLeast"/>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 1º A escrituração contábil de que trata o caput deverá conter todos os fatos contábeis do período de apuração, devendo ser elaborada em forma contábil e com a utilização do plano de contas da escrituração comercial.</w:t>
                        </w:r>
                      </w:p>
                    </w:tc>
                  </w:tr>
                </w:tbl>
                <w:p w:rsidR="00CE2B5D" w:rsidRPr="00CE2B5D" w:rsidRDefault="00CE2B5D" w:rsidP="00CE2B5D">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CE2B5D" w:rsidRPr="00CE2B5D">
                    <w:trPr>
                      <w:trHeight w:val="75"/>
                      <w:tblCellSpacing w:w="15" w:type="dxa"/>
                    </w:trPr>
                    <w:tc>
                      <w:tcPr>
                        <w:tcW w:w="600" w:type="dxa"/>
                        <w:tcBorders>
                          <w:top w:val="nil"/>
                          <w:left w:val="nil"/>
                          <w:bottom w:val="nil"/>
                          <w:right w:val="nil"/>
                        </w:tcBorders>
                        <w:vAlign w:val="center"/>
                        <w:hideMark/>
                      </w:tcPr>
                      <w:p w:rsidR="00CE2B5D" w:rsidRPr="00CE2B5D" w:rsidRDefault="00CE2B5D" w:rsidP="00CE2B5D">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CE2B5D" w:rsidRPr="00CE2B5D" w:rsidRDefault="00CE2B5D" w:rsidP="00CE2B5D">
                        <w:pPr>
                          <w:spacing w:after="0" w:line="75" w:lineRule="atLeast"/>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 xml:space="preserve">§ 2º Os lançamentos realizados na escrituração contábil de que trata o caput deverá, nos casos em que </w:t>
                        </w:r>
                        <w:proofErr w:type="gramStart"/>
                        <w:r w:rsidRPr="00CE2B5D">
                          <w:rPr>
                            <w:rFonts w:ascii="Tahoma" w:eastAsia="Times New Roman" w:hAnsi="Tahoma" w:cs="Tahoma"/>
                            <w:color w:val="333333"/>
                            <w:spacing w:val="15"/>
                            <w:sz w:val="20"/>
                            <w:szCs w:val="20"/>
                            <w:lang w:eastAsia="pt-BR"/>
                          </w:rPr>
                          <w:t>couber,</w:t>
                        </w:r>
                        <w:proofErr w:type="gramEnd"/>
                        <w:r w:rsidRPr="00CE2B5D">
                          <w:rPr>
                            <w:rFonts w:ascii="Tahoma" w:eastAsia="Times New Roman" w:hAnsi="Tahoma" w:cs="Tahoma"/>
                            <w:color w:val="333333"/>
                            <w:spacing w:val="15"/>
                            <w:sz w:val="20"/>
                            <w:szCs w:val="20"/>
                            <w:lang w:eastAsia="pt-BR"/>
                          </w:rPr>
                          <w:t xml:space="preserve"> manter correspondência com aqueles efetuados na escrituração comercial, inclusive no que se refere aos históricos.</w:t>
                        </w:r>
                      </w:p>
                    </w:tc>
                  </w:tr>
                </w:tbl>
                <w:p w:rsidR="00CE2B5D" w:rsidRPr="00CE2B5D" w:rsidRDefault="00CE2B5D" w:rsidP="00CE2B5D">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7796"/>
                  </w:tblGrid>
                  <w:tr w:rsidR="00CE2B5D" w:rsidRPr="00CE2B5D">
                    <w:trPr>
                      <w:trHeight w:val="75"/>
                      <w:tblCellSpacing w:w="15" w:type="dxa"/>
                    </w:trPr>
                    <w:tc>
                      <w:tcPr>
                        <w:tcW w:w="600" w:type="dxa"/>
                        <w:tcBorders>
                          <w:top w:val="nil"/>
                          <w:left w:val="nil"/>
                          <w:bottom w:val="nil"/>
                          <w:right w:val="nil"/>
                        </w:tcBorders>
                        <w:vAlign w:val="center"/>
                        <w:hideMark/>
                      </w:tcPr>
                      <w:p w:rsidR="00CE2B5D" w:rsidRPr="00CE2B5D" w:rsidRDefault="00CE2B5D" w:rsidP="00CE2B5D">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CE2B5D" w:rsidRPr="00CE2B5D" w:rsidRDefault="00CE2B5D" w:rsidP="00CE2B5D">
                        <w:pPr>
                          <w:spacing w:after="0" w:line="75" w:lineRule="atLeast"/>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 3º A escrituração contábil de que trata o caput será transmitida ao Sped.</w:t>
                        </w:r>
                      </w:p>
                    </w:tc>
                  </w:tr>
                </w:tbl>
                <w:p w:rsidR="00CE2B5D" w:rsidRPr="00CE2B5D" w:rsidRDefault="00CE2B5D" w:rsidP="00CE2B5D">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CE2B5D" w:rsidRPr="00CE2B5D">
                    <w:trPr>
                      <w:trHeight w:val="75"/>
                      <w:tblCellSpacing w:w="15" w:type="dxa"/>
                    </w:trPr>
                    <w:tc>
                      <w:tcPr>
                        <w:tcW w:w="600" w:type="dxa"/>
                        <w:tcBorders>
                          <w:top w:val="nil"/>
                          <w:left w:val="nil"/>
                          <w:bottom w:val="nil"/>
                          <w:right w:val="nil"/>
                        </w:tcBorders>
                        <w:vAlign w:val="center"/>
                        <w:hideMark/>
                      </w:tcPr>
                      <w:p w:rsidR="00CE2B5D" w:rsidRPr="00CE2B5D" w:rsidRDefault="00CE2B5D" w:rsidP="00CE2B5D">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CE2B5D" w:rsidRPr="00CE2B5D" w:rsidRDefault="00CE2B5D" w:rsidP="00CE2B5D">
                        <w:pPr>
                          <w:spacing w:after="0" w:line="75" w:lineRule="atLeast"/>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 xml:space="preserve">§ 4º Na hipótese a que se refere o caput, o lucro líquido do exercício de que trata o § 1º do art. 6º do Decreto-lei nº 1.598, de 1977, para efeito da determinação do lucro real e da base de cálculo da </w:t>
                        </w:r>
                        <w:r w:rsidRPr="00CE2B5D">
                          <w:rPr>
                            <w:rFonts w:ascii="Tahoma" w:eastAsia="Times New Roman" w:hAnsi="Tahoma" w:cs="Tahoma"/>
                            <w:color w:val="333333"/>
                            <w:spacing w:val="15"/>
                            <w:sz w:val="20"/>
                            <w:szCs w:val="20"/>
                            <w:lang w:eastAsia="pt-BR"/>
                          </w:rPr>
                          <w:lastRenderedPageBreak/>
                          <w:t>contribuição social, deverá ser obtido com base na escrituração contábil de que trata o caput e deverá ser apurado com observância das disposições da Lei nº 6.404, de 1976, ressalvado o disposto no art. 286.</w:t>
                        </w:r>
                      </w:p>
                    </w:tc>
                  </w:tr>
                </w:tbl>
                <w:p w:rsidR="00CE2B5D" w:rsidRPr="00CE2B5D" w:rsidRDefault="00CE2B5D" w:rsidP="00CE2B5D">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CE2B5D" w:rsidRPr="00CE2B5D">
                    <w:trPr>
                      <w:trHeight w:val="75"/>
                      <w:tblCellSpacing w:w="15" w:type="dxa"/>
                    </w:trPr>
                    <w:tc>
                      <w:tcPr>
                        <w:tcW w:w="600" w:type="dxa"/>
                        <w:tcBorders>
                          <w:top w:val="nil"/>
                          <w:left w:val="nil"/>
                          <w:bottom w:val="nil"/>
                          <w:right w:val="nil"/>
                        </w:tcBorders>
                        <w:vAlign w:val="center"/>
                        <w:hideMark/>
                      </w:tcPr>
                      <w:p w:rsidR="00CE2B5D" w:rsidRPr="00CE2B5D" w:rsidRDefault="00CE2B5D" w:rsidP="00CE2B5D">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CE2B5D" w:rsidRPr="00CE2B5D" w:rsidRDefault="00CE2B5D" w:rsidP="00CE2B5D">
                        <w:pPr>
                          <w:spacing w:after="0" w:line="75" w:lineRule="atLeast"/>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 5º Os ajustes de adição, exclusão ou compensação, prescritos ou autorizados pela legislação tributária para a determinação do lucro real e da base de cálculo da contribuição social sobre o lucro líquido, deverão ser realizados com base nos valores reconhecidos e mensurados na moeda nacional, nos termos do art. 286, constantes na escrituração contábil de que trata o caput.</w:t>
                        </w:r>
                      </w:p>
                    </w:tc>
                  </w:tr>
                </w:tbl>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Além disso, a pessoa jurídica deverá criar campos adicionais auxiliares no arquivo da ECD, por meio do preenchimento do registro I020, para informar os valores da contabilidade em moeda funcional, convertida para reais conforme regras previstas na legislação contábil (as instruções para criação dos campos adicionais já constam no Manual da ECD).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 Preenchimento do registro I020 (Campos adicionais):</w:t>
                  </w:r>
                </w:p>
                <w:tbl>
                  <w:tblPr>
                    <w:tblW w:w="0" w:type="auto"/>
                    <w:tblCellSpacing w:w="15" w:type="dxa"/>
                    <w:tblCellMar>
                      <w:left w:w="0" w:type="dxa"/>
                      <w:right w:w="0" w:type="dxa"/>
                    </w:tblCellMar>
                    <w:tblLook w:val="04A0" w:firstRow="1" w:lastRow="0" w:firstColumn="1" w:lastColumn="0" w:noHBand="0" w:noVBand="1"/>
                  </w:tblPr>
                  <w:tblGrid>
                    <w:gridCol w:w="645"/>
                    <w:gridCol w:w="6472"/>
                  </w:tblGrid>
                  <w:tr w:rsidR="00CE2B5D" w:rsidRPr="00CE2B5D">
                    <w:trPr>
                      <w:trHeight w:val="75"/>
                      <w:tblCellSpacing w:w="15" w:type="dxa"/>
                    </w:trPr>
                    <w:tc>
                      <w:tcPr>
                        <w:tcW w:w="600" w:type="dxa"/>
                        <w:tcBorders>
                          <w:top w:val="nil"/>
                          <w:left w:val="nil"/>
                          <w:bottom w:val="nil"/>
                          <w:right w:val="nil"/>
                        </w:tcBorders>
                        <w:vAlign w:val="center"/>
                        <w:hideMark/>
                      </w:tcPr>
                      <w:p w:rsidR="00CE2B5D" w:rsidRPr="00CE2B5D" w:rsidRDefault="00CE2B5D" w:rsidP="00CE2B5D">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CE2B5D" w:rsidRPr="00CE2B5D" w:rsidRDefault="00CE2B5D" w:rsidP="00CE2B5D">
                        <w:pPr>
                          <w:spacing w:after="0" w:line="75" w:lineRule="atLeast"/>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|I020|I310|06|VAL_DEB_AUX|TOTAL DOS DEBITOS DO DIA|N|</w:t>
                        </w:r>
                      </w:p>
                    </w:tc>
                  </w:tr>
                </w:tbl>
                <w:p w:rsidR="00CE2B5D" w:rsidRPr="00CE2B5D" w:rsidRDefault="00CE2B5D" w:rsidP="00CE2B5D">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3611"/>
                  </w:tblGrid>
                  <w:tr w:rsidR="00CE2B5D" w:rsidRPr="00CE2B5D">
                    <w:trPr>
                      <w:trHeight w:val="75"/>
                      <w:tblCellSpacing w:w="15" w:type="dxa"/>
                    </w:trPr>
                    <w:tc>
                      <w:tcPr>
                        <w:tcW w:w="600" w:type="dxa"/>
                        <w:tcBorders>
                          <w:top w:val="nil"/>
                          <w:left w:val="nil"/>
                          <w:bottom w:val="nil"/>
                          <w:right w:val="nil"/>
                        </w:tcBorders>
                        <w:vAlign w:val="center"/>
                        <w:hideMark/>
                      </w:tcPr>
                      <w:p w:rsidR="00CE2B5D" w:rsidRPr="00CE2B5D" w:rsidRDefault="00CE2B5D" w:rsidP="00CE2B5D">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CE2B5D" w:rsidRPr="00CE2B5D" w:rsidRDefault="00CE2B5D" w:rsidP="00CE2B5D">
                        <w:pPr>
                          <w:spacing w:after="0" w:line="75" w:lineRule="atLeast"/>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Campo 01 - Tipo de Registro: I020</w:t>
                        </w:r>
                      </w:p>
                    </w:tc>
                  </w:tr>
                </w:tbl>
                <w:p w:rsidR="00CE2B5D" w:rsidRPr="00CE2B5D" w:rsidRDefault="00CE2B5D" w:rsidP="00CE2B5D">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7508"/>
                  </w:tblGrid>
                  <w:tr w:rsidR="00CE2B5D" w:rsidRPr="00CE2B5D">
                    <w:trPr>
                      <w:trHeight w:val="75"/>
                      <w:tblCellSpacing w:w="15" w:type="dxa"/>
                    </w:trPr>
                    <w:tc>
                      <w:tcPr>
                        <w:tcW w:w="600" w:type="dxa"/>
                        <w:tcBorders>
                          <w:top w:val="nil"/>
                          <w:left w:val="nil"/>
                          <w:bottom w:val="nil"/>
                          <w:right w:val="nil"/>
                        </w:tcBorders>
                        <w:vAlign w:val="center"/>
                        <w:hideMark/>
                      </w:tcPr>
                      <w:p w:rsidR="00CE2B5D" w:rsidRPr="00CE2B5D" w:rsidRDefault="00CE2B5D" w:rsidP="00CE2B5D">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CE2B5D" w:rsidRPr="00CE2B5D" w:rsidRDefault="00CE2B5D" w:rsidP="00CE2B5D">
                        <w:pPr>
                          <w:spacing w:after="0" w:line="75" w:lineRule="atLeast"/>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Campo 02 - Código do Registro que Recepciona o Campo Adicional: I310</w:t>
                        </w:r>
                      </w:p>
                    </w:tc>
                  </w:tr>
                </w:tbl>
                <w:p w:rsidR="00CE2B5D" w:rsidRPr="00CE2B5D" w:rsidRDefault="00CE2B5D" w:rsidP="00CE2B5D">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5762"/>
                  </w:tblGrid>
                  <w:tr w:rsidR="00CE2B5D" w:rsidRPr="00CE2B5D">
                    <w:trPr>
                      <w:trHeight w:val="75"/>
                      <w:tblCellSpacing w:w="15" w:type="dxa"/>
                    </w:trPr>
                    <w:tc>
                      <w:tcPr>
                        <w:tcW w:w="600" w:type="dxa"/>
                        <w:tcBorders>
                          <w:top w:val="nil"/>
                          <w:left w:val="nil"/>
                          <w:bottom w:val="nil"/>
                          <w:right w:val="nil"/>
                        </w:tcBorders>
                        <w:vAlign w:val="center"/>
                        <w:hideMark/>
                      </w:tcPr>
                      <w:p w:rsidR="00CE2B5D" w:rsidRPr="00CE2B5D" w:rsidRDefault="00CE2B5D" w:rsidP="00CE2B5D">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CE2B5D" w:rsidRPr="00CE2B5D" w:rsidRDefault="00CE2B5D" w:rsidP="00CE2B5D">
                        <w:pPr>
                          <w:spacing w:after="0" w:line="75" w:lineRule="atLeast"/>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Campo 03 - Número Sequencial do Campo Adicional: 06</w:t>
                        </w:r>
                      </w:p>
                    </w:tc>
                  </w:tr>
                </w:tbl>
                <w:p w:rsidR="00CE2B5D" w:rsidRPr="00CE2B5D" w:rsidRDefault="00CE2B5D" w:rsidP="00CE2B5D">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5584"/>
                  </w:tblGrid>
                  <w:tr w:rsidR="00CE2B5D" w:rsidRPr="00CE2B5D">
                    <w:trPr>
                      <w:trHeight w:val="75"/>
                      <w:tblCellSpacing w:w="15" w:type="dxa"/>
                    </w:trPr>
                    <w:tc>
                      <w:tcPr>
                        <w:tcW w:w="600" w:type="dxa"/>
                        <w:tcBorders>
                          <w:top w:val="nil"/>
                          <w:left w:val="nil"/>
                          <w:bottom w:val="nil"/>
                          <w:right w:val="nil"/>
                        </w:tcBorders>
                        <w:vAlign w:val="center"/>
                        <w:hideMark/>
                      </w:tcPr>
                      <w:p w:rsidR="00CE2B5D" w:rsidRPr="00CE2B5D" w:rsidRDefault="00CE2B5D" w:rsidP="00CE2B5D">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CE2B5D" w:rsidRPr="00CE2B5D" w:rsidRDefault="00CE2B5D" w:rsidP="00CE2B5D">
                        <w:pPr>
                          <w:spacing w:after="0" w:line="75" w:lineRule="atLeast"/>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Campo 04 - Nome do Campo Adicional: VAL_DEB_AUX</w:t>
                        </w:r>
                      </w:p>
                    </w:tc>
                  </w:tr>
                </w:tbl>
                <w:p w:rsidR="00CE2B5D" w:rsidRPr="00CE2B5D" w:rsidRDefault="00CE2B5D" w:rsidP="00CE2B5D">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10575"/>
                  </w:tblGrid>
                  <w:tr w:rsidR="00CE2B5D" w:rsidRPr="00CE2B5D">
                    <w:trPr>
                      <w:trHeight w:val="75"/>
                      <w:tblCellSpacing w:w="15" w:type="dxa"/>
                    </w:trPr>
                    <w:tc>
                      <w:tcPr>
                        <w:tcW w:w="600" w:type="dxa"/>
                        <w:tcBorders>
                          <w:top w:val="nil"/>
                          <w:left w:val="nil"/>
                          <w:bottom w:val="nil"/>
                          <w:right w:val="nil"/>
                        </w:tcBorders>
                        <w:vAlign w:val="center"/>
                        <w:hideMark/>
                      </w:tcPr>
                      <w:p w:rsidR="00CE2B5D" w:rsidRPr="00CE2B5D" w:rsidRDefault="00CE2B5D" w:rsidP="00CE2B5D">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CE2B5D" w:rsidRPr="00CE2B5D" w:rsidRDefault="00CE2B5D" w:rsidP="00CE2B5D">
                        <w:pPr>
                          <w:spacing w:after="0" w:line="75" w:lineRule="atLeast"/>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Campo 05 - Descrição: Total dos débitos do dia em moeda que não reflita os efeitos de moeda funcional.</w:t>
                        </w:r>
                      </w:p>
                    </w:tc>
                  </w:tr>
                </w:tbl>
                <w:p w:rsidR="00CE2B5D" w:rsidRPr="00CE2B5D" w:rsidRDefault="00CE2B5D" w:rsidP="00CE2B5D">
                  <w:pPr>
                    <w:spacing w:after="0" w:line="240" w:lineRule="auto"/>
                    <w:jc w:val="both"/>
                    <w:rPr>
                      <w:rFonts w:ascii="Tahoma" w:eastAsia="Times New Roman" w:hAnsi="Tahoma" w:cs="Tahoma"/>
                      <w:vanish/>
                      <w:color w:val="333333"/>
                      <w:spacing w:val="15"/>
                      <w:sz w:val="20"/>
                      <w:szCs w:val="20"/>
                      <w:lang w:eastAsia="pt-BR"/>
                    </w:rPr>
                  </w:pPr>
                </w:p>
                <w:tbl>
                  <w:tblPr>
                    <w:tblW w:w="0" w:type="auto"/>
                    <w:tblCellSpacing w:w="15" w:type="dxa"/>
                    <w:tblCellMar>
                      <w:left w:w="0" w:type="dxa"/>
                      <w:right w:w="0" w:type="dxa"/>
                    </w:tblCellMar>
                    <w:tblLook w:val="04A0" w:firstRow="1" w:lastRow="0" w:firstColumn="1" w:lastColumn="0" w:noHBand="0" w:noVBand="1"/>
                  </w:tblPr>
                  <w:tblGrid>
                    <w:gridCol w:w="645"/>
                    <w:gridCol w:w="5577"/>
                  </w:tblGrid>
                  <w:tr w:rsidR="00CE2B5D" w:rsidRPr="00CE2B5D">
                    <w:trPr>
                      <w:trHeight w:val="75"/>
                      <w:tblCellSpacing w:w="15" w:type="dxa"/>
                    </w:trPr>
                    <w:tc>
                      <w:tcPr>
                        <w:tcW w:w="600" w:type="dxa"/>
                        <w:tcBorders>
                          <w:top w:val="nil"/>
                          <w:left w:val="nil"/>
                          <w:bottom w:val="nil"/>
                          <w:right w:val="nil"/>
                        </w:tcBorders>
                        <w:vAlign w:val="center"/>
                        <w:hideMark/>
                      </w:tcPr>
                      <w:p w:rsidR="00CE2B5D" w:rsidRPr="00CE2B5D" w:rsidRDefault="00CE2B5D" w:rsidP="00CE2B5D">
                        <w:pPr>
                          <w:spacing w:after="0" w:line="240" w:lineRule="auto"/>
                          <w:rPr>
                            <w:rFonts w:ascii="Times New Roman" w:eastAsia="Times New Roman" w:hAnsi="Times New Roman" w:cs="Times New Roman"/>
                            <w:sz w:val="24"/>
                            <w:szCs w:val="24"/>
                            <w:lang w:eastAsia="pt-BR"/>
                          </w:rPr>
                        </w:pPr>
                      </w:p>
                    </w:tc>
                    <w:tc>
                      <w:tcPr>
                        <w:tcW w:w="0" w:type="auto"/>
                        <w:tcBorders>
                          <w:top w:val="nil"/>
                          <w:left w:val="nil"/>
                          <w:bottom w:val="nil"/>
                          <w:right w:val="nil"/>
                        </w:tcBorders>
                        <w:vAlign w:val="center"/>
                        <w:hideMark/>
                      </w:tcPr>
                      <w:p w:rsidR="00CE2B5D" w:rsidRPr="00CE2B5D" w:rsidRDefault="00CE2B5D" w:rsidP="00CE2B5D">
                        <w:pPr>
                          <w:spacing w:after="0" w:line="75" w:lineRule="atLeast"/>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Campo 06 - Indicação do Tipo de Dado: N (Numérico)</w:t>
                        </w:r>
                      </w:p>
                    </w:tc>
                  </w:tr>
                </w:tbl>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Por fim, a RFB esclareceu também que, em relação às demonstrações contábeis (bloco J), caso a empresa preencha com dados adicionais (moeda funcional), o sistema emitirá apenas avisos, mas não impedirá a transmissão.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97"/>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b/>
                      <w:bCs/>
                      <w:color w:val="333333"/>
                      <w:spacing w:val="15"/>
                      <w:sz w:val="20"/>
                      <w:szCs w:val="20"/>
                      <w:bdr w:val="none" w:sz="0" w:space="0" w:color="auto" w:frame="1"/>
                      <w:lang w:eastAsia="pt-BR"/>
                    </w:rPr>
                    <w:t>I - Dados</w:t>
                  </w:r>
                  <w:r w:rsidRPr="00CE2B5D">
                    <w:rPr>
                      <w:rFonts w:ascii="Tahoma" w:eastAsia="Times New Roman" w:hAnsi="Tahoma" w:cs="Tahoma"/>
                      <w:color w:val="333333"/>
                      <w:spacing w:val="15"/>
                      <w:sz w:val="20"/>
                      <w:szCs w:val="20"/>
                      <w:lang w:eastAsia="pt-BR"/>
                    </w:rPr>
                    <w:t>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A empresa faz a contabilidade societária em dólar (moeda funcional) e possui um empréstimo registrado em sua contabilidade de US$ 5.000,00. Na data da obtenção do empréstimo, a cotação do dólar era R$ 3,00. Na data da divulgação das demonstrações contábeis, a cotação do dólar era R$ 4,00.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207"/>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lastRenderedPageBreak/>
                    <w:t>a) na data da obtenção do empréstimo: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209"/>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proofErr w:type="gramStart"/>
                  <w:r w:rsidRPr="00CE2B5D">
                    <w:rPr>
                      <w:rFonts w:ascii="Tahoma" w:eastAsia="Times New Roman" w:hAnsi="Tahoma" w:cs="Tahoma"/>
                      <w:color w:val="333333"/>
                      <w:spacing w:val="15"/>
                      <w:sz w:val="20"/>
                      <w:szCs w:val="20"/>
                      <w:lang w:eastAsia="pt-BR"/>
                    </w:rPr>
                    <w:t>a.</w:t>
                  </w:r>
                  <w:proofErr w:type="gramEnd"/>
                  <w:r w:rsidRPr="00CE2B5D">
                    <w:rPr>
                      <w:rFonts w:ascii="Tahoma" w:eastAsia="Times New Roman" w:hAnsi="Tahoma" w:cs="Tahoma"/>
                      <w:color w:val="333333"/>
                      <w:spacing w:val="15"/>
                      <w:sz w:val="20"/>
                      <w:szCs w:val="20"/>
                      <w:lang w:eastAsia="pt-BR"/>
                    </w:rPr>
                    <w:t>1) contabilidade em moeda funcional: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8083"/>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 xml:space="preserve">Empréstimos a pagar = US$ 5.000,00 </w:t>
                  </w:r>
                  <w:proofErr w:type="gramStart"/>
                  <w:r w:rsidRPr="00CE2B5D">
                    <w:rPr>
                      <w:rFonts w:ascii="Tahoma" w:eastAsia="Times New Roman" w:hAnsi="Tahoma" w:cs="Tahoma"/>
                      <w:color w:val="333333"/>
                      <w:spacing w:val="15"/>
                      <w:sz w:val="20"/>
                      <w:szCs w:val="20"/>
                      <w:lang w:eastAsia="pt-BR"/>
                    </w:rPr>
                    <w:t>é</w:t>
                  </w:r>
                  <w:proofErr w:type="gramEnd"/>
                  <w:r w:rsidRPr="00CE2B5D">
                    <w:rPr>
                      <w:rFonts w:ascii="Tahoma" w:eastAsia="Times New Roman" w:hAnsi="Tahoma" w:cs="Tahoma"/>
                      <w:color w:val="333333"/>
                      <w:spacing w:val="15"/>
                      <w:sz w:val="20"/>
                      <w:szCs w:val="20"/>
                      <w:lang w:eastAsia="pt-BR"/>
                    </w:rPr>
                    <w:t xml:space="preserve"> Convertidos em reais = R$ 15.000,00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124"/>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proofErr w:type="gramStart"/>
                  <w:r w:rsidRPr="00CE2B5D">
                    <w:rPr>
                      <w:rFonts w:ascii="Tahoma" w:eastAsia="Times New Roman" w:hAnsi="Tahoma" w:cs="Tahoma"/>
                      <w:color w:val="333333"/>
                      <w:spacing w:val="15"/>
                      <w:sz w:val="20"/>
                      <w:szCs w:val="20"/>
                      <w:lang w:eastAsia="pt-BR"/>
                    </w:rPr>
                    <w:t>a.</w:t>
                  </w:r>
                  <w:proofErr w:type="gramEnd"/>
                  <w:r w:rsidRPr="00CE2B5D">
                    <w:rPr>
                      <w:rFonts w:ascii="Tahoma" w:eastAsia="Times New Roman" w:hAnsi="Tahoma" w:cs="Tahoma"/>
                      <w:color w:val="333333"/>
                      <w:spacing w:val="15"/>
                      <w:sz w:val="20"/>
                      <w:szCs w:val="20"/>
                      <w:lang w:eastAsia="pt-BR"/>
                    </w:rPr>
                    <w:t>2) contabilidade em moeda nacional: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657"/>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Empréstimos a pagar = R$ 15.000,00 (US$ 5.000,00 x R$ 3,00)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5251"/>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b) na data da data do encerramento do exercício: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215"/>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proofErr w:type="gramStart"/>
                  <w:r w:rsidRPr="00CE2B5D">
                    <w:rPr>
                      <w:rFonts w:ascii="Tahoma" w:eastAsia="Times New Roman" w:hAnsi="Tahoma" w:cs="Tahoma"/>
                      <w:color w:val="333333"/>
                      <w:spacing w:val="15"/>
                      <w:sz w:val="20"/>
                      <w:szCs w:val="20"/>
                      <w:lang w:eastAsia="pt-BR"/>
                    </w:rPr>
                    <w:t>b.</w:t>
                  </w:r>
                  <w:proofErr w:type="gramEnd"/>
                  <w:r w:rsidRPr="00CE2B5D">
                    <w:rPr>
                      <w:rFonts w:ascii="Tahoma" w:eastAsia="Times New Roman" w:hAnsi="Tahoma" w:cs="Tahoma"/>
                      <w:color w:val="333333"/>
                      <w:spacing w:val="15"/>
                      <w:sz w:val="20"/>
                      <w:szCs w:val="20"/>
                      <w:lang w:eastAsia="pt-BR"/>
                    </w:rPr>
                    <w:t>1) contabilidade em moeda funcional: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8083"/>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 xml:space="preserve">Empréstimos a pagar = US$ 5.000,00 </w:t>
                  </w:r>
                  <w:proofErr w:type="gramStart"/>
                  <w:r w:rsidRPr="00CE2B5D">
                    <w:rPr>
                      <w:rFonts w:ascii="Tahoma" w:eastAsia="Times New Roman" w:hAnsi="Tahoma" w:cs="Tahoma"/>
                      <w:color w:val="333333"/>
                      <w:spacing w:val="15"/>
                      <w:sz w:val="20"/>
                      <w:szCs w:val="20"/>
                      <w:lang w:eastAsia="pt-BR"/>
                    </w:rPr>
                    <w:t>é</w:t>
                  </w:r>
                  <w:proofErr w:type="gramEnd"/>
                  <w:r w:rsidRPr="00CE2B5D">
                    <w:rPr>
                      <w:rFonts w:ascii="Tahoma" w:eastAsia="Times New Roman" w:hAnsi="Tahoma" w:cs="Tahoma"/>
                      <w:color w:val="333333"/>
                      <w:spacing w:val="15"/>
                      <w:sz w:val="20"/>
                      <w:szCs w:val="20"/>
                      <w:lang w:eastAsia="pt-BR"/>
                    </w:rPr>
                    <w:t xml:space="preserve"> Convertidos em reais = R$ 20.000,00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4130"/>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proofErr w:type="gramStart"/>
                  <w:r w:rsidRPr="00CE2B5D">
                    <w:rPr>
                      <w:rFonts w:ascii="Tahoma" w:eastAsia="Times New Roman" w:hAnsi="Tahoma" w:cs="Tahoma"/>
                      <w:color w:val="333333"/>
                      <w:spacing w:val="15"/>
                      <w:sz w:val="20"/>
                      <w:szCs w:val="20"/>
                      <w:lang w:eastAsia="pt-BR"/>
                    </w:rPr>
                    <w:t>b.</w:t>
                  </w:r>
                  <w:proofErr w:type="gramEnd"/>
                  <w:r w:rsidRPr="00CE2B5D">
                    <w:rPr>
                      <w:rFonts w:ascii="Tahoma" w:eastAsia="Times New Roman" w:hAnsi="Tahoma" w:cs="Tahoma"/>
                      <w:color w:val="333333"/>
                      <w:spacing w:val="15"/>
                      <w:sz w:val="20"/>
                      <w:szCs w:val="20"/>
                      <w:lang w:eastAsia="pt-BR"/>
                    </w:rPr>
                    <w:t>2) contabilidade em moeda nacional: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657"/>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Empréstimos a pagar = R$ 20.000,00 (US$ 5.000,00 x R$ 4,00)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8149"/>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Variação cambial passiva = R$ 5.000,00 [US$ 5.000,00 x (R$ 4,00 - R$ 3,00)]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5741"/>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b/>
                      <w:bCs/>
                      <w:color w:val="333333"/>
                      <w:spacing w:val="15"/>
                      <w:sz w:val="20"/>
                      <w:szCs w:val="20"/>
                      <w:bdr w:val="none" w:sz="0" w:space="0" w:color="auto" w:frame="1"/>
                      <w:lang w:eastAsia="pt-BR"/>
                    </w:rPr>
                    <w:t>II - Exemplo de preenchimento do registro I155: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5607"/>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r w:rsidRPr="00CE2B5D">
                    <w:rPr>
                      <w:rFonts w:ascii="Tahoma" w:eastAsia="Times New Roman" w:hAnsi="Tahoma" w:cs="Tahoma"/>
                      <w:color w:val="333333"/>
                      <w:spacing w:val="15"/>
                      <w:sz w:val="20"/>
                      <w:szCs w:val="20"/>
                      <w:lang w:eastAsia="pt-BR"/>
                    </w:rPr>
                    <w:t>REGISTRO I155: DETALHE DOS SALDOS PERIÓDICOS </w:t>
                  </w:r>
                </w:p>
              </w:tc>
            </w:tr>
          </w:tbl>
          <w:p w:rsidR="00CE2B5D" w:rsidRPr="00CE2B5D" w:rsidRDefault="00CE2B5D" w:rsidP="00CE2B5D">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CE2B5D" w:rsidRPr="00CE2B5D">
              <w:trPr>
                <w:tblCellSpacing w:w="15" w:type="dxa"/>
              </w:trPr>
              <w:tc>
                <w:tcPr>
                  <w:tcW w:w="0" w:type="auto"/>
                  <w:tcBorders>
                    <w:top w:val="nil"/>
                    <w:left w:val="nil"/>
                    <w:bottom w:val="nil"/>
                    <w:right w:val="nil"/>
                  </w:tcBorders>
                  <w:vAlign w:val="center"/>
                  <w:hideMark/>
                </w:tcPr>
                <w:p w:rsidR="00CE2B5D" w:rsidRPr="00CE2B5D" w:rsidRDefault="00CE2B5D" w:rsidP="00CE2B5D">
                  <w:pPr>
                    <w:spacing w:after="240" w:line="240" w:lineRule="auto"/>
                    <w:jc w:val="both"/>
                    <w:rPr>
                      <w:rFonts w:ascii="Tahoma" w:eastAsia="Times New Roman" w:hAnsi="Tahoma" w:cs="Tahoma"/>
                      <w:color w:val="333333"/>
                      <w:spacing w:val="15"/>
                      <w:sz w:val="20"/>
                      <w:szCs w:val="20"/>
                      <w:lang w:eastAsia="pt-BR"/>
                    </w:rPr>
                  </w:pPr>
                  <w:proofErr w:type="gramStart"/>
                  <w:r w:rsidRPr="00CE2B5D">
                    <w:rPr>
                      <w:rFonts w:ascii="Tahoma" w:eastAsia="Times New Roman" w:hAnsi="Tahoma" w:cs="Tahoma"/>
                      <w:color w:val="333333"/>
                      <w:spacing w:val="15"/>
                      <w:sz w:val="20"/>
                      <w:szCs w:val="20"/>
                      <w:lang w:eastAsia="pt-BR"/>
                    </w:rPr>
                    <w:t>I155|2132.</w:t>
                  </w:r>
                  <w:proofErr w:type="gramEnd"/>
                  <w:r w:rsidRPr="00CE2B5D">
                    <w:rPr>
                      <w:rFonts w:ascii="Tahoma" w:eastAsia="Times New Roman" w:hAnsi="Tahoma" w:cs="Tahoma"/>
                      <w:color w:val="333333"/>
                      <w:spacing w:val="15"/>
                      <w:sz w:val="20"/>
                      <w:szCs w:val="20"/>
                      <w:lang w:eastAsia="pt-BR"/>
                    </w:rPr>
                    <w:t>0004||15000,00|C|0,00|5000,00|20000,00|C|15000,00|C|0,00|5000,00|20000,00|C| </w:t>
                  </w:r>
                  <w:r w:rsidRPr="00CE2B5D">
                    <w:rPr>
                      <w:rFonts w:ascii="Tahoma" w:eastAsia="Times New Roman" w:hAnsi="Tahoma" w:cs="Tahoma"/>
                      <w:color w:val="333333"/>
                      <w:spacing w:val="15"/>
                      <w:sz w:val="20"/>
                      <w:szCs w:val="20"/>
                      <w:bdr w:val="none" w:sz="0" w:space="0" w:color="auto" w:frame="1"/>
                      <w:lang w:eastAsia="pt-BR"/>
                    </w:rPr>
                    <w:br/>
                  </w:r>
                  <w:r w:rsidRPr="00CE2B5D">
                    <w:rPr>
                      <w:rFonts w:ascii="Tahoma" w:eastAsia="Times New Roman" w:hAnsi="Tahoma" w:cs="Tahoma"/>
                      <w:color w:val="333333"/>
                      <w:spacing w:val="15"/>
                      <w:sz w:val="20"/>
                      <w:szCs w:val="20"/>
                      <w:bdr w:val="none" w:sz="0" w:space="0" w:color="auto" w:frame="1"/>
                      <w:lang w:eastAsia="pt-BR"/>
                    </w:rPr>
                    <w:br/>
                    <w:t>(Manual da ECD, anexo ao Ato Declaratório Executivo Cofis nº </w:t>
                  </w:r>
                  <w:hyperlink r:id="rId11" w:anchor="fe+ade+cofis+24+2017" w:tgtFrame="_parent" w:history="1">
                    <w:r w:rsidRPr="00CE2B5D">
                      <w:rPr>
                        <w:rFonts w:ascii="Verdana" w:eastAsia="Times New Roman" w:hAnsi="Verdana" w:cs="Tahoma"/>
                        <w:b/>
                        <w:bCs/>
                        <w:color w:val="333333"/>
                        <w:spacing w:val="15"/>
                        <w:sz w:val="20"/>
                        <w:szCs w:val="20"/>
                        <w:u w:val="single"/>
                        <w:bdr w:val="none" w:sz="0" w:space="0" w:color="auto" w:frame="1"/>
                        <w:lang w:eastAsia="pt-BR"/>
                      </w:rPr>
                      <w:t>24/2017</w:t>
                    </w:r>
                  </w:hyperlink>
                  <w:r w:rsidRPr="00CE2B5D">
                    <w:rPr>
                      <w:rFonts w:ascii="Tahoma" w:eastAsia="Times New Roman" w:hAnsi="Tahoma" w:cs="Tahoma"/>
                      <w:color w:val="333333"/>
                      <w:spacing w:val="15"/>
                      <w:sz w:val="20"/>
                      <w:szCs w:val="20"/>
                      <w:bdr w:val="none" w:sz="0" w:space="0" w:color="auto" w:frame="1"/>
                      <w:lang w:eastAsia="pt-BR"/>
                    </w:rPr>
                    <w:t> ; Instrução Normativa RFB nº </w:t>
                  </w:r>
                  <w:hyperlink r:id="rId12" w:anchor="fe+in+rfb+1700+2017" w:tgtFrame="_parent" w:history="1">
                    <w:r w:rsidRPr="00CE2B5D">
                      <w:rPr>
                        <w:rFonts w:ascii="Verdana" w:eastAsia="Times New Roman" w:hAnsi="Verdana" w:cs="Tahoma"/>
                        <w:b/>
                        <w:bCs/>
                        <w:color w:val="333333"/>
                        <w:spacing w:val="15"/>
                        <w:sz w:val="20"/>
                        <w:szCs w:val="20"/>
                        <w:u w:val="single"/>
                        <w:bdr w:val="none" w:sz="0" w:space="0" w:color="auto" w:frame="1"/>
                        <w:lang w:eastAsia="pt-BR"/>
                      </w:rPr>
                      <w:t>1.700/2017</w:t>
                    </w:r>
                  </w:hyperlink>
                  <w:r w:rsidRPr="00CE2B5D">
                    <w:rPr>
                      <w:rFonts w:ascii="Tahoma" w:eastAsia="Times New Roman" w:hAnsi="Tahoma" w:cs="Tahoma"/>
                      <w:color w:val="333333"/>
                      <w:spacing w:val="15"/>
                      <w:sz w:val="20"/>
                      <w:szCs w:val="20"/>
                      <w:bdr w:val="none" w:sz="0" w:space="0" w:color="auto" w:frame="1"/>
                      <w:lang w:eastAsia="pt-BR"/>
                    </w:rPr>
                    <w:t> , arts. </w:t>
                  </w:r>
                  <w:hyperlink r:id="rId13" w:anchor="fe+in+rfb+1700+2017@art286" w:tgtFrame="_parent" w:history="1">
                    <w:r w:rsidRPr="00CE2B5D">
                      <w:rPr>
                        <w:rFonts w:ascii="Verdana" w:eastAsia="Times New Roman" w:hAnsi="Verdana" w:cs="Tahoma"/>
                        <w:b/>
                        <w:bCs/>
                        <w:color w:val="333333"/>
                        <w:spacing w:val="15"/>
                        <w:sz w:val="20"/>
                        <w:szCs w:val="20"/>
                        <w:u w:val="single"/>
                        <w:bdr w:val="none" w:sz="0" w:space="0" w:color="auto" w:frame="1"/>
                        <w:lang w:eastAsia="pt-BR"/>
                      </w:rPr>
                      <w:t>286</w:t>
                    </w:r>
                  </w:hyperlink>
                  <w:r w:rsidRPr="00CE2B5D">
                    <w:rPr>
                      <w:rFonts w:ascii="Tahoma" w:eastAsia="Times New Roman" w:hAnsi="Tahoma" w:cs="Tahoma"/>
                      <w:color w:val="333333"/>
                      <w:spacing w:val="15"/>
                      <w:sz w:val="20"/>
                      <w:szCs w:val="20"/>
                      <w:bdr w:val="none" w:sz="0" w:space="0" w:color="auto" w:frame="1"/>
                      <w:lang w:eastAsia="pt-BR"/>
                    </w:rPr>
                    <w:t> e </w:t>
                  </w:r>
                  <w:hyperlink r:id="rId14" w:anchor="fe+in+rfb+1700+2017@art287" w:tgtFrame="_parent" w:history="1">
                    <w:r w:rsidRPr="00CE2B5D">
                      <w:rPr>
                        <w:rFonts w:ascii="Verdana" w:eastAsia="Times New Roman" w:hAnsi="Verdana" w:cs="Tahoma"/>
                        <w:b/>
                        <w:bCs/>
                        <w:color w:val="333333"/>
                        <w:spacing w:val="15"/>
                        <w:sz w:val="20"/>
                        <w:szCs w:val="20"/>
                        <w:u w:val="single"/>
                        <w:bdr w:val="none" w:sz="0" w:space="0" w:color="auto" w:frame="1"/>
                        <w:lang w:eastAsia="pt-BR"/>
                      </w:rPr>
                      <w:t>287</w:t>
                    </w:r>
                  </w:hyperlink>
                  <w:r w:rsidRPr="00CE2B5D">
                    <w:rPr>
                      <w:rFonts w:ascii="Tahoma" w:eastAsia="Times New Roman" w:hAnsi="Tahoma" w:cs="Tahoma"/>
                      <w:color w:val="333333"/>
                      <w:spacing w:val="15"/>
                      <w:sz w:val="20"/>
                      <w:szCs w:val="20"/>
                      <w:bdr w:val="none" w:sz="0" w:space="0" w:color="auto" w:frame="1"/>
                      <w:lang w:eastAsia="pt-BR"/>
                    </w:rPr>
                    <w:t> ) </w:t>
                  </w:r>
                </w:p>
              </w:tc>
            </w:tr>
          </w:tbl>
          <w:p w:rsidR="00CE2B5D" w:rsidRPr="00CE2B5D" w:rsidRDefault="00CE2B5D" w:rsidP="00CE2B5D">
            <w:pPr>
              <w:spacing w:after="0" w:line="240" w:lineRule="auto"/>
              <w:rPr>
                <w:rFonts w:ascii="Tahoma" w:eastAsia="Times New Roman" w:hAnsi="Tahoma" w:cs="Tahoma"/>
                <w:color w:val="000000"/>
                <w:spacing w:val="15"/>
                <w:sz w:val="27"/>
                <w:szCs w:val="27"/>
                <w:lang w:eastAsia="pt-BR"/>
              </w:rPr>
            </w:pPr>
          </w:p>
        </w:tc>
      </w:tr>
    </w:tbl>
    <w:p w:rsidR="00CE2B5D" w:rsidRPr="00CE2B5D" w:rsidRDefault="00CE2B5D" w:rsidP="00CE2B5D">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CE2B5D" w:rsidRPr="00CE2B5D" w:rsidTr="00CE2B5D">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CE2B5D" w:rsidRPr="00CE2B5D">
              <w:trPr>
                <w:tblCellSpacing w:w="0" w:type="dxa"/>
              </w:trPr>
              <w:tc>
                <w:tcPr>
                  <w:tcW w:w="0" w:type="auto"/>
                  <w:tcBorders>
                    <w:top w:val="nil"/>
                    <w:left w:val="nil"/>
                    <w:bottom w:val="nil"/>
                    <w:right w:val="nil"/>
                  </w:tcBorders>
                  <w:vAlign w:val="center"/>
                  <w:hideMark/>
                </w:tcPr>
                <w:p w:rsidR="00CE2B5D" w:rsidRPr="00CE2B5D" w:rsidRDefault="00CE2B5D" w:rsidP="00CE2B5D">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r w:rsidRPr="00CE2B5D">
                    <w:rPr>
                      <w:rFonts w:ascii="Tahoma" w:eastAsia="Times New Roman" w:hAnsi="Tahoma" w:cs="Tahoma"/>
                      <w:b/>
                      <w:bCs/>
                      <w:color w:val="666666"/>
                      <w:spacing w:val="15"/>
                      <w:sz w:val="20"/>
                      <w:szCs w:val="20"/>
                      <w:lang w:eastAsia="pt-BR"/>
                    </w:rPr>
                    <w:lastRenderedPageBreak/>
                    <w:t>Legislação Referenciada</w:t>
                  </w:r>
                </w:p>
              </w:tc>
            </w:tr>
          </w:tbl>
          <w:p w:rsidR="00CE2B5D" w:rsidRPr="00CE2B5D" w:rsidRDefault="00CE2B5D" w:rsidP="00CE2B5D">
            <w:pPr>
              <w:spacing w:after="0" w:line="240" w:lineRule="auto"/>
              <w:rPr>
                <w:rFonts w:ascii="Tahoma" w:eastAsia="Times New Roman" w:hAnsi="Tahoma" w:cs="Tahoma"/>
                <w:color w:val="000000"/>
                <w:spacing w:val="15"/>
                <w:sz w:val="27"/>
                <w:szCs w:val="27"/>
                <w:lang w:eastAsia="pt-BR"/>
              </w:rPr>
            </w:pPr>
          </w:p>
        </w:tc>
      </w:tr>
      <w:tr w:rsidR="00CE2B5D" w:rsidRPr="00CE2B5D" w:rsidTr="00CE2B5D">
        <w:trPr>
          <w:tblCellSpacing w:w="0" w:type="dxa"/>
        </w:trPr>
        <w:tc>
          <w:tcPr>
            <w:tcW w:w="0" w:type="auto"/>
            <w:tcBorders>
              <w:top w:val="nil"/>
              <w:left w:val="nil"/>
              <w:bottom w:val="nil"/>
              <w:right w:val="nil"/>
            </w:tcBorders>
            <w:vAlign w:val="center"/>
            <w:hideMark/>
          </w:tcPr>
          <w:p w:rsidR="00CE2B5D" w:rsidRPr="00CE2B5D" w:rsidRDefault="00CE2B5D" w:rsidP="00CE2B5D">
            <w:pPr>
              <w:spacing w:after="0" w:line="240" w:lineRule="auto"/>
              <w:rPr>
                <w:rFonts w:ascii="Tahoma" w:eastAsia="Times New Roman" w:hAnsi="Tahoma" w:cs="Tahoma"/>
                <w:color w:val="000000"/>
                <w:spacing w:val="15"/>
                <w:sz w:val="27"/>
                <w:szCs w:val="27"/>
                <w:lang w:eastAsia="pt-BR"/>
              </w:rPr>
            </w:pPr>
            <w:r w:rsidRPr="00CE2B5D">
              <w:rPr>
                <w:rFonts w:ascii="Tahoma" w:eastAsia="Times New Roman" w:hAnsi="Tahoma" w:cs="Tahoma"/>
                <w:color w:val="333333"/>
                <w:spacing w:val="15"/>
                <w:sz w:val="18"/>
                <w:szCs w:val="18"/>
                <w:bdr w:val="none" w:sz="0" w:space="0" w:color="auto" w:frame="1"/>
                <w:lang w:eastAsia="pt-BR"/>
              </w:rPr>
              <w:t>Ato Declaratório Executivo Cofis nº </w:t>
            </w:r>
            <w:hyperlink r:id="rId15" w:anchor="fe+ade+cofis+24+2017" w:tgtFrame="_parent" w:history="1">
              <w:r w:rsidRPr="00CE2B5D">
                <w:rPr>
                  <w:rFonts w:ascii="Verdana" w:eastAsia="Times New Roman" w:hAnsi="Verdana" w:cs="Tahoma"/>
                  <w:b/>
                  <w:bCs/>
                  <w:color w:val="333333"/>
                  <w:spacing w:val="15"/>
                  <w:sz w:val="20"/>
                  <w:szCs w:val="20"/>
                  <w:u w:val="single"/>
                  <w:bdr w:val="none" w:sz="0" w:space="0" w:color="auto" w:frame="1"/>
                  <w:lang w:eastAsia="pt-BR"/>
                </w:rPr>
                <w:t>24/2017</w:t>
              </w:r>
            </w:hyperlink>
            <w:r w:rsidRPr="00CE2B5D">
              <w:rPr>
                <w:rFonts w:ascii="Tahoma" w:eastAsia="Times New Roman" w:hAnsi="Tahoma" w:cs="Tahoma"/>
                <w:color w:val="333333"/>
                <w:spacing w:val="15"/>
                <w:sz w:val="18"/>
                <w:szCs w:val="18"/>
                <w:bdr w:val="none" w:sz="0" w:space="0" w:color="auto" w:frame="1"/>
                <w:lang w:eastAsia="pt-BR"/>
              </w:rPr>
              <w:t>Instrução Normativa RFB nº </w:t>
            </w:r>
            <w:hyperlink r:id="rId16" w:anchor="fe+in+rfb+1700+2017" w:tgtFrame="_parent" w:history="1">
              <w:r w:rsidRPr="00CE2B5D">
                <w:rPr>
                  <w:rFonts w:ascii="Verdana" w:eastAsia="Times New Roman" w:hAnsi="Verdana" w:cs="Tahoma"/>
                  <w:b/>
                  <w:bCs/>
                  <w:color w:val="333333"/>
                  <w:spacing w:val="15"/>
                  <w:sz w:val="20"/>
                  <w:szCs w:val="20"/>
                  <w:u w:val="single"/>
                  <w:bdr w:val="none" w:sz="0" w:space="0" w:color="auto" w:frame="1"/>
                  <w:lang w:eastAsia="pt-BR"/>
                </w:rPr>
                <w:t>1.700/2017</w:t>
              </w:r>
            </w:hyperlink>
          </w:p>
        </w:tc>
      </w:tr>
    </w:tbl>
    <w:p w:rsidR="00BF295B" w:rsidRDefault="00BF295B"/>
    <w:sectPr w:rsidR="00BF295B" w:rsidSect="00CE2B5D">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2B5D"/>
    <w:rsid w:val="00BF295B"/>
    <w:rsid w:val="00CE2B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CE2B5D"/>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CE2B5D"/>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CE2B5D"/>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CE2B5D"/>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CE2B5D"/>
    <w:rPr>
      <w:b/>
      <w:bCs/>
    </w:rPr>
  </w:style>
  <w:style w:type="character" w:styleId="Hyperlink">
    <w:name w:val="Hyperlink"/>
    <w:basedOn w:val="Fontepargpadro"/>
    <w:uiPriority w:val="99"/>
    <w:semiHidden/>
    <w:unhideWhenUsed/>
    <w:rsid w:val="00CE2B5D"/>
    <w:rPr>
      <w:color w:val="0000FF"/>
      <w:u w:val="single"/>
    </w:rPr>
  </w:style>
  <w:style w:type="paragraph" w:customStyle="1" w:styleId="sumario">
    <w:name w:val="sumario"/>
    <w:basedOn w:val="Normal"/>
    <w:rsid w:val="00CE2B5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CE2B5D"/>
  </w:style>
  <w:style w:type="character" w:customStyle="1" w:styleId="legref">
    <w:name w:val="legref"/>
    <w:basedOn w:val="Fontepargpadro"/>
    <w:rsid w:val="00CE2B5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CE2B5D"/>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CE2B5D"/>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CE2B5D"/>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CE2B5D"/>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CE2B5D"/>
    <w:rPr>
      <w:b/>
      <w:bCs/>
    </w:rPr>
  </w:style>
  <w:style w:type="character" w:styleId="Hyperlink">
    <w:name w:val="Hyperlink"/>
    <w:basedOn w:val="Fontepargpadro"/>
    <w:uiPriority w:val="99"/>
    <w:semiHidden/>
    <w:unhideWhenUsed/>
    <w:rsid w:val="00CE2B5D"/>
    <w:rPr>
      <w:color w:val="0000FF"/>
      <w:u w:val="single"/>
    </w:rPr>
  </w:style>
  <w:style w:type="paragraph" w:customStyle="1" w:styleId="sumario">
    <w:name w:val="sumario"/>
    <w:basedOn w:val="Normal"/>
    <w:rsid w:val="00CE2B5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CE2B5D"/>
  </w:style>
  <w:style w:type="character" w:customStyle="1" w:styleId="legref">
    <w:name w:val="legref"/>
    <w:basedOn w:val="Fontepargpadro"/>
    <w:rsid w:val="00CE2B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7352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obonline.com.br/pages/coreonline/coreonlineDocuments.jsf?il=y&amp;ls=3&amp;docFieldName=destino&amp;docFieldValue=fe+in+rfb+1700+2017@art286" TargetMode="External"/><Relationship Id="rId13" Type="http://schemas.openxmlformats.org/officeDocument/2006/relationships/hyperlink" Target="https://www.iobonline.com.br/pages/coreonline/coreonlineDocuments.jsf?il=y&amp;ls=3&amp;docFieldName=destino&amp;docFieldValue=fe+in+rfb+1700+2017@art28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obonline.com.br/pages/coreonline/coreonlineDocuments.jsf?il=y&amp;ls=3&amp;docFieldName=destino&amp;docFieldValue=fe+in+rfb+1700+2017" TargetMode="External"/><Relationship Id="rId12" Type="http://schemas.openxmlformats.org/officeDocument/2006/relationships/hyperlink" Target="https://www.iobonline.com.br/pages/coreonline/coreonlineDocuments.jsf?il=y&amp;ls=3&amp;docFieldName=destino&amp;docFieldValue=fe+in+rfb+1700+2017" TargetMode="External"/><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s://www.iobonline.com.br/pages/coreonline/coreonlineDocuments.jsf?il=y&amp;ls=3&amp;docFieldName=destino&amp;docFieldValue=fe+in+rfb+1700+2017" TargetMode="External"/><Relationship Id="rId1" Type="http://schemas.openxmlformats.org/officeDocument/2006/relationships/styles" Target="styles.xml"/><Relationship Id="rId6" Type="http://schemas.openxmlformats.org/officeDocument/2006/relationships/hyperlink" Target="https://www.iobonline.com.br/pages/coreonline/coreonlineDocuments.jsf?il=y&amp;ls=3&amp;docFieldName=destino&amp;docFieldValue=fe+in+rfb+1700+2017@art286" TargetMode="External"/><Relationship Id="rId11" Type="http://schemas.openxmlformats.org/officeDocument/2006/relationships/hyperlink" Target="https://www.iobonline.com.br/pages/coreonline/coreonlineDocuments.jsf?il=y&amp;ls=3&amp;docFieldName=destino&amp;docFieldValue=fe+ade+cofis+24+2017" TargetMode="External"/><Relationship Id="rId5" Type="http://schemas.openxmlformats.org/officeDocument/2006/relationships/hyperlink" Target="https://www.iobonline.com.br/pages/coreonline/coreonlineDocuments.jsf?il=y&amp;ls=3&amp;docFieldName=destino&amp;docFieldValue=PCIR-011176" TargetMode="External"/><Relationship Id="rId15" Type="http://schemas.openxmlformats.org/officeDocument/2006/relationships/hyperlink" Target="https://www.iobonline.com.br/pages/coreonline/coreonlineDocuments.jsf?il=y&amp;ls=3&amp;docFieldName=destino&amp;docFieldValue=fe+ade+cofis+24+2017" TargetMode="External"/><Relationship Id="rId10" Type="http://schemas.openxmlformats.org/officeDocument/2006/relationships/hyperlink" Target="https://www.iobonline.com.br/pages/coreonline/coreonlineDocuments.jsf?il=y&amp;ls=3&amp;docFieldName=destino&amp;docFieldValue=fe+in+rfb+1700+2017" TargetMode="External"/><Relationship Id="rId4" Type="http://schemas.openxmlformats.org/officeDocument/2006/relationships/webSettings" Target="webSettings.xml"/><Relationship Id="rId9" Type="http://schemas.openxmlformats.org/officeDocument/2006/relationships/hyperlink" Target="https://www.iobonline.com.br/pages/coreonline/coreonlineDocuments.jsf?il=y&amp;ls=3&amp;docFieldName=destino&amp;docFieldValue=fe+in+rfb+1700+2017@art287" TargetMode="External"/><Relationship Id="rId14" Type="http://schemas.openxmlformats.org/officeDocument/2006/relationships/hyperlink" Target="https://www.iobonline.com.br/pages/coreonline/coreonlineDocuments.jsf?il=y&amp;ls=3&amp;docFieldName=destino&amp;docFieldValue=fe+in+rfb+1700+2017@art287"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1470</Words>
  <Characters>7940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1</cp:revision>
  <dcterms:created xsi:type="dcterms:W3CDTF">2018-05-23T03:06:00Z</dcterms:created>
  <dcterms:modified xsi:type="dcterms:W3CDTF">2018-05-23T03:06:00Z</dcterms:modified>
</cp:coreProperties>
</file>