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740" w:rsidRPr="00C34740" w:rsidRDefault="00C34740" w:rsidP="00C34740">
      <w:pPr>
        <w:shd w:val="clear" w:color="auto" w:fill="FFFFFF"/>
        <w:spacing w:after="375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3"/>
          <w:szCs w:val="53"/>
          <w:lang w:eastAsia="pt-BR"/>
        </w:rPr>
      </w:pPr>
      <w:r w:rsidRPr="00C34740">
        <w:rPr>
          <w:rFonts w:ascii="Arial" w:eastAsia="Times New Roman" w:hAnsi="Arial" w:cs="Arial"/>
          <w:b/>
          <w:bCs/>
          <w:color w:val="000000"/>
          <w:kern w:val="36"/>
          <w:sz w:val="53"/>
          <w:szCs w:val="53"/>
          <w:lang w:eastAsia="pt-BR"/>
        </w:rPr>
        <w:t xml:space="preserve">Simples </w:t>
      </w:r>
      <w:proofErr w:type="gramStart"/>
      <w:r w:rsidRPr="00C34740">
        <w:rPr>
          <w:rFonts w:ascii="Arial" w:eastAsia="Times New Roman" w:hAnsi="Arial" w:cs="Arial"/>
          <w:b/>
          <w:bCs/>
          <w:color w:val="000000"/>
          <w:kern w:val="36"/>
          <w:sz w:val="53"/>
          <w:szCs w:val="53"/>
          <w:lang w:eastAsia="pt-BR"/>
        </w:rPr>
        <w:t>Nacional em 2018 - Novas alíquotas</w:t>
      </w:r>
      <w:proofErr w:type="gramEnd"/>
      <w:r w:rsidRPr="00C34740">
        <w:rPr>
          <w:rFonts w:ascii="Arial" w:eastAsia="Times New Roman" w:hAnsi="Arial" w:cs="Arial"/>
          <w:b/>
          <w:bCs/>
          <w:color w:val="000000"/>
          <w:kern w:val="36"/>
          <w:sz w:val="53"/>
          <w:szCs w:val="53"/>
          <w:lang w:eastAsia="pt-BR"/>
        </w:rPr>
        <w:t xml:space="preserve"> e forma de cálculo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 partir de 2018 começará a vigorar as novas mudanças de alíquotas e valores para as empresas do Simples Nacional em observância a </w:t>
      </w:r>
      <w:hyperlink r:id="rId5" w:tgtFrame="_blank" w:history="1">
        <w:r>
          <w:rPr>
            <w:rStyle w:val="Hyperlink"/>
            <w:rFonts w:ascii="Helvetica" w:hAnsi="Helvetica" w:cs="Helvetica"/>
            <w:color w:val="428BCA"/>
            <w:sz w:val="21"/>
            <w:szCs w:val="21"/>
          </w:rPr>
          <w:t>Lei Complementar 155/2016</w:t>
        </w:r>
      </w:hyperlink>
      <w:r>
        <w:rPr>
          <w:rFonts w:ascii="Helvetica" w:hAnsi="Helvetica" w:cs="Helvetica"/>
          <w:color w:val="333333"/>
          <w:sz w:val="21"/>
          <w:szCs w:val="21"/>
        </w:rPr>
        <w:t>, que modificou a famosa </w:t>
      </w:r>
      <w:hyperlink r:id="rId6" w:tgtFrame="_blank" w:history="1">
        <w:r>
          <w:rPr>
            <w:rStyle w:val="Hyperlink"/>
            <w:rFonts w:ascii="Helvetica" w:hAnsi="Helvetica" w:cs="Helvetica"/>
            <w:color w:val="428BCA"/>
            <w:sz w:val="21"/>
            <w:szCs w:val="21"/>
          </w:rPr>
          <w:t>Lei Complementar 123/2006</w:t>
        </w:r>
      </w:hyperlink>
      <w:r>
        <w:rPr>
          <w:rFonts w:ascii="Helvetica" w:hAnsi="Helvetica" w:cs="Helvetica"/>
          <w:color w:val="333333"/>
          <w:sz w:val="21"/>
          <w:szCs w:val="21"/>
        </w:rPr>
        <w:t>, conhecida como a lei do Simples Nacional.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 mudança alterou completamente a forma de apurar o valor do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DAS mensal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, foi pensando nisso que elaboramos esse post para explicar de forma clara e sucinta como funcionará o novo método de cálculo e as novas tabelas aplicáveis. Para que você empresário consiga entender e planejar melhor o fluxo de caixa da sua empresa.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pStyle w:val="Ttulo4"/>
        <w:shd w:val="clear" w:color="auto" w:fill="FFFFFF"/>
        <w:spacing w:before="150" w:after="150"/>
        <w:jc w:val="both"/>
        <w:rPr>
          <w:rFonts w:ascii="Helvetica" w:hAnsi="Helvetica" w:cs="Helvetica"/>
          <w:b w:val="0"/>
          <w:bCs w:val="0"/>
          <w:color w:val="333333"/>
          <w:sz w:val="27"/>
          <w:szCs w:val="27"/>
        </w:rPr>
      </w:pPr>
      <w:r>
        <w:rPr>
          <w:rStyle w:val="Forte"/>
          <w:rFonts w:ascii="Helvetica" w:hAnsi="Helvetica" w:cs="Helvetica"/>
          <w:b/>
          <w:bCs/>
          <w:color w:val="333333"/>
          <w:sz w:val="27"/>
          <w:szCs w:val="27"/>
        </w:rPr>
        <w:t>Importante: O limite máximo de faturamento para as empresas do Simples Nacional foi alterado de R$ 3.600.000,00 para R$ 4.800.000,00.</w:t>
      </w:r>
    </w:p>
    <w:p w:rsidR="00C34740" w:rsidRDefault="00C34740" w:rsidP="00C34740">
      <w:pPr>
        <w:pStyle w:val="Ttulo4"/>
        <w:shd w:val="clear" w:color="auto" w:fill="FFFFFF"/>
        <w:spacing w:before="150" w:after="150"/>
        <w:jc w:val="both"/>
        <w:rPr>
          <w:rFonts w:ascii="Helvetica" w:hAnsi="Helvetica" w:cs="Helvetica"/>
          <w:b w:val="0"/>
          <w:bCs w:val="0"/>
          <w:color w:val="333333"/>
          <w:sz w:val="27"/>
          <w:szCs w:val="27"/>
        </w:rPr>
      </w:pPr>
      <w:r>
        <w:rPr>
          <w:rFonts w:ascii="Helvetica" w:hAnsi="Helvetica" w:cs="Helvetica"/>
          <w:b w:val="0"/>
          <w:bCs w:val="0"/>
          <w:color w:val="333333"/>
          <w:sz w:val="27"/>
          <w:szCs w:val="27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I - Alíquotas e Partilha do Simples Nacional – Comércio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7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258"/>
        <w:gridCol w:w="984"/>
        <w:gridCol w:w="1783"/>
      </w:tblGrid>
      <w:tr w:rsidR="00C34740" w:rsidTr="00C34740">
        <w:trPr>
          <w:trHeight w:val="510"/>
          <w:jc w:val="center"/>
        </w:trPr>
        <w:tc>
          <w:tcPr>
            <w:tcW w:w="4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Receita Bruta em 12 Meses (em R$)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Alíquota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Valor a Deduzir (em R$)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Até 180.000,00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-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De 180.000,01 a 360.000,00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7,30%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5.940,00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De 360.000,01 a 720.000,00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9,50%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13.860,00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De 720.000,01 a 1.800.000,00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10,70%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22.500,00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De 1.800.000,01 a 3.600.000,00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14,30%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87.300,00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De 3.600.000,01 a 4.800.000,00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19,00%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378.000,00</w:t>
            </w:r>
          </w:p>
        </w:tc>
      </w:tr>
    </w:tbl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II - Alíquotas e Partilha do Simples Nacional – Indústria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7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258"/>
        <w:gridCol w:w="984"/>
        <w:gridCol w:w="1783"/>
      </w:tblGrid>
      <w:tr w:rsidR="00C34740" w:rsidTr="00C34740">
        <w:trPr>
          <w:trHeight w:val="510"/>
          <w:jc w:val="center"/>
        </w:trPr>
        <w:tc>
          <w:tcPr>
            <w:tcW w:w="4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lastRenderedPageBreak/>
              <w:t>Receita Bruta em 12 Meses (em R$)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Alíquota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Valor a Deduzir (em R$)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Até 180.000,00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180.000,01 a 360.000,00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7,80%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5.940,00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360.000,01 a 720.000,00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13.860,00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720.000,01 a 1.800.000,00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11,20%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22.500,00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1.800.000,01 a 3.600.000,00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14,70%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85.500,00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3.600.000,01 a 4.800.000,00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30,00%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720.000,00</w:t>
            </w:r>
          </w:p>
        </w:tc>
      </w:tr>
    </w:tbl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III - Alíquotas e Partilha do Simples </w:t>
      </w:r>
      <w:proofErr w:type="gramStart"/>
      <w:r>
        <w:rPr>
          <w:rStyle w:val="Forte"/>
          <w:rFonts w:ascii="Helvetica" w:hAnsi="Helvetica" w:cs="Helvetica"/>
          <w:color w:val="333333"/>
          <w:sz w:val="21"/>
          <w:szCs w:val="21"/>
        </w:rPr>
        <w:t>Nacional - Receitas</w:t>
      </w:r>
      <w:proofErr w:type="gramEnd"/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 de locação de bens móveis e de prestação de serviços não relacionados no § 5</w:t>
      </w:r>
      <w:r>
        <w:rPr>
          <w:rStyle w:val="Forte"/>
          <w:rFonts w:ascii="Helvetica" w:hAnsi="Helvetica" w:cs="Helvetica"/>
          <w:color w:val="333333"/>
          <w:sz w:val="16"/>
          <w:szCs w:val="16"/>
          <w:u w:val="single"/>
          <w:vertAlign w:val="superscript"/>
        </w:rPr>
        <w:t>o</w:t>
      </w:r>
      <w:r>
        <w:rPr>
          <w:rStyle w:val="Forte"/>
          <w:rFonts w:ascii="Helvetica" w:hAnsi="Helvetica" w:cs="Helvetica"/>
          <w:color w:val="333333"/>
          <w:sz w:val="21"/>
          <w:szCs w:val="21"/>
        </w:rPr>
        <w:t>-C do art. 18 desta Lei Complementar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7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258"/>
        <w:gridCol w:w="984"/>
        <w:gridCol w:w="1783"/>
      </w:tblGrid>
      <w:tr w:rsidR="00C34740" w:rsidTr="00C34740">
        <w:trPr>
          <w:trHeight w:val="510"/>
          <w:jc w:val="center"/>
        </w:trPr>
        <w:tc>
          <w:tcPr>
            <w:tcW w:w="4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Receita Bruta em 12 Meses (em R$)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Alíquota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Valor a Deduzir (em R$)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Até 180.000,00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–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180.000,01 a 360.000,00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11,20%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9.360,00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360.000,01 a 720.000,00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13,50%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17.640,00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720.000,01 a 1.800.000,00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16,00%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35.640,00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1.800.000,01 a 3.600.000,00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21,00%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125.640,00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3.600.000,01 a 4.800.000,00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33,00%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648.000,00</w:t>
            </w:r>
          </w:p>
        </w:tc>
      </w:tr>
    </w:tbl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IV - Alíquotas e Partilha do Simples </w:t>
      </w:r>
      <w:proofErr w:type="gramStart"/>
      <w:r>
        <w:rPr>
          <w:rStyle w:val="Forte"/>
          <w:rFonts w:ascii="Helvetica" w:hAnsi="Helvetica" w:cs="Helvetica"/>
          <w:color w:val="333333"/>
          <w:sz w:val="21"/>
          <w:szCs w:val="21"/>
        </w:rPr>
        <w:t>Nacional – Receitas</w:t>
      </w:r>
      <w:proofErr w:type="gramEnd"/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 decorrentes da prestação de serviços relacionados no § 5</w:t>
      </w:r>
      <w:r>
        <w:rPr>
          <w:rStyle w:val="Forte"/>
          <w:rFonts w:ascii="Helvetica" w:hAnsi="Helvetica" w:cs="Helvetica"/>
          <w:color w:val="333333"/>
          <w:sz w:val="16"/>
          <w:szCs w:val="16"/>
          <w:u w:val="single"/>
          <w:vertAlign w:val="superscript"/>
        </w:rPr>
        <w:t>o</w:t>
      </w:r>
      <w:r>
        <w:rPr>
          <w:rStyle w:val="Forte"/>
          <w:rFonts w:ascii="Helvetica" w:hAnsi="Helvetica" w:cs="Helvetica"/>
          <w:color w:val="333333"/>
          <w:sz w:val="21"/>
          <w:szCs w:val="21"/>
        </w:rPr>
        <w:t>-C do art. 18 desta Lei Complementar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7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258"/>
        <w:gridCol w:w="984"/>
        <w:gridCol w:w="1783"/>
      </w:tblGrid>
      <w:tr w:rsidR="00C34740" w:rsidTr="00C34740">
        <w:trPr>
          <w:trHeight w:val="510"/>
          <w:jc w:val="center"/>
        </w:trPr>
        <w:tc>
          <w:tcPr>
            <w:tcW w:w="4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Receita Bruta em 12 Meses (em R$)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Alíquota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Valor a Deduzir (em R$)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Até 180.000,00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180.000,01 a 360.000,00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9,00%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8.100,00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lastRenderedPageBreak/>
              <w:t>3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360.000,01 a 720.000,00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10,20%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12.420,00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720.000,01 a 1.800.000,00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14,00%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39.780,00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1.800.000,01 a 3.600.000,00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22,00%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183.780,00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3.600.000,01 a 4.800.000,00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33,00%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828.000,00</w:t>
            </w:r>
          </w:p>
        </w:tc>
      </w:tr>
    </w:tbl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V - Alíquotas e Partilha do Simples </w:t>
      </w:r>
      <w:proofErr w:type="gramStart"/>
      <w:r>
        <w:rPr>
          <w:rStyle w:val="Forte"/>
          <w:rFonts w:ascii="Helvetica" w:hAnsi="Helvetica" w:cs="Helvetica"/>
          <w:color w:val="333333"/>
          <w:sz w:val="21"/>
          <w:szCs w:val="21"/>
        </w:rPr>
        <w:t>Nacional - Receitas</w:t>
      </w:r>
      <w:proofErr w:type="gramEnd"/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 decorrentes da prestação de serviços relacionados no § 5</w:t>
      </w:r>
      <w:r>
        <w:rPr>
          <w:rStyle w:val="Forte"/>
          <w:rFonts w:ascii="Helvetica" w:hAnsi="Helvetica" w:cs="Helvetica"/>
          <w:color w:val="333333"/>
          <w:sz w:val="16"/>
          <w:szCs w:val="16"/>
          <w:u w:val="single"/>
          <w:vertAlign w:val="superscript"/>
        </w:rPr>
        <w:t>o</w:t>
      </w:r>
      <w:r>
        <w:rPr>
          <w:rStyle w:val="Forte"/>
          <w:rFonts w:ascii="Helvetica" w:hAnsi="Helvetica" w:cs="Helvetica"/>
          <w:color w:val="333333"/>
          <w:sz w:val="21"/>
          <w:szCs w:val="21"/>
        </w:rPr>
        <w:t>-I do art. 18 desta Lei Complementar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7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258"/>
        <w:gridCol w:w="984"/>
        <w:gridCol w:w="1783"/>
      </w:tblGrid>
      <w:tr w:rsidR="00C34740" w:rsidTr="00C34740">
        <w:trPr>
          <w:trHeight w:val="510"/>
          <w:jc w:val="center"/>
        </w:trPr>
        <w:tc>
          <w:tcPr>
            <w:tcW w:w="4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Receita Bruta em 12 Meses (em R$)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Alíquota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Valor a Deduzir (em R$)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Até 180.000,00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15,50%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180.000,01 a 360.000,00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18,00%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4.500,00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360.000,01 a 720.000,00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19,50%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9.900,00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720.000,01 a 1.800.000,00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17.100,00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1.800.000,01 a 3.600.000,00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23,00%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62.100,00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 3.600.000,01 a 4.800.000,00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30,50%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540.000,00</w:t>
            </w:r>
          </w:p>
        </w:tc>
      </w:tr>
    </w:tbl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pStyle w:val="Ttulo4"/>
        <w:shd w:val="clear" w:color="auto" w:fill="FFFFFF"/>
        <w:spacing w:before="150" w:after="150"/>
        <w:jc w:val="center"/>
        <w:rPr>
          <w:rFonts w:ascii="Helvetica" w:hAnsi="Helvetica" w:cs="Helvetica"/>
          <w:b w:val="0"/>
          <w:bCs w:val="0"/>
          <w:color w:val="333333"/>
          <w:sz w:val="27"/>
          <w:szCs w:val="27"/>
        </w:rPr>
      </w:pPr>
      <w:r>
        <w:rPr>
          <w:rStyle w:val="Forte"/>
          <w:rFonts w:ascii="Helvetica" w:hAnsi="Helvetica" w:cs="Helvetica"/>
          <w:b/>
          <w:bCs/>
          <w:color w:val="333333"/>
          <w:sz w:val="27"/>
          <w:szCs w:val="27"/>
        </w:rPr>
        <w:t>Fórmula Alíquota efetiva</w:t>
      </w:r>
    </w:p>
    <w:p w:rsidR="00C34740" w:rsidRDefault="00C34740" w:rsidP="00C34740">
      <w:pPr>
        <w:shd w:val="clear" w:color="auto" w:fill="FFFFFF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Alíquota efetiva = (RBT12 * </w:t>
      </w:r>
      <w:proofErr w:type="spellStart"/>
      <w:r>
        <w:rPr>
          <w:rStyle w:val="Forte"/>
          <w:rFonts w:ascii="Helvetica" w:hAnsi="Helvetica" w:cs="Helvetica"/>
          <w:color w:val="333333"/>
          <w:sz w:val="21"/>
          <w:szCs w:val="21"/>
        </w:rPr>
        <w:t>Alíq</w:t>
      </w:r>
      <w:proofErr w:type="spellEnd"/>
      <w:r>
        <w:rPr>
          <w:rStyle w:val="Forte"/>
          <w:rFonts w:ascii="Helvetica" w:hAnsi="Helvetica" w:cs="Helvetica"/>
          <w:color w:val="333333"/>
          <w:sz w:val="21"/>
          <w:szCs w:val="21"/>
        </w:rPr>
        <w:t>) – PD/RBT12</w:t>
      </w:r>
    </w:p>
    <w:p w:rsidR="00C34740" w:rsidRDefault="00C34740" w:rsidP="00C34740">
      <w:pPr>
        <w:shd w:val="clear" w:color="auto" w:fill="FFFFFF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Onde: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RBT12 = Receita Bruta Acumulada nos doze meses anteriores ao período de apuração;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</w:rPr>
        <w:t>Alíq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: Alíquota normal prevista nos anexos I a V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PD: Parcela a deduzir prevista nos anexos I a V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Exemplo: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Uma indústria com Faturamento acumulado nos últimos 12 meses de R$ 3.000.000,00 obteve no mês atual R$ 250.000,00 de receita. Qual a nova alíquota e o valor do DAS?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Resolução: Como a atividade da empresa é industrial, aplicaremos as alíquotas nominais previstas no Anexo II, nesse caso 14,70% (5ª Faixa) e uma parcela a deduzir de R$ 85.500,00. Partiremos agora para o cálculo da alíquota efetiva como prevê a fórmula: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Alíquota efetiva = [(RBT12 *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Alíq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– PD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]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/RBT12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Alíquota efetiva = [(3.000.000,00 * 14,7%) – 85.500,00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]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/3.000.000,00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Alíquota efetiva = (441.000,00 – 85.500,00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)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/3.000.000,00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Alíquota efetiva = 355.500,00 / 3.000.000,00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Alíquota efetiva = 0,1185 ou 11,85%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Valor do DAS = Receita Mensal x Alíquota efetiva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Valor do DAS = 250.000,00 x 11,85%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Valor do DAS = 29.625,00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pStyle w:val="Ttulo4"/>
        <w:shd w:val="clear" w:color="auto" w:fill="FFFFFF"/>
        <w:spacing w:before="150" w:after="150"/>
        <w:jc w:val="center"/>
        <w:rPr>
          <w:rFonts w:ascii="Helvetica" w:hAnsi="Helvetica" w:cs="Helvetica"/>
          <w:b w:val="0"/>
          <w:bCs w:val="0"/>
          <w:color w:val="333333"/>
          <w:sz w:val="27"/>
          <w:szCs w:val="27"/>
        </w:rPr>
      </w:pPr>
      <w:r>
        <w:rPr>
          <w:rStyle w:val="Forte"/>
          <w:rFonts w:ascii="Helvetica" w:hAnsi="Helvetica" w:cs="Helvetica"/>
          <w:b/>
          <w:bCs/>
          <w:color w:val="333333"/>
          <w:sz w:val="27"/>
          <w:szCs w:val="27"/>
        </w:rPr>
        <w:t>Relação Folha de Pessoal x Faturamento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As atividades de prestação de serviço elencadas no § 5</w:t>
      </w:r>
      <w:r>
        <w:rPr>
          <w:rFonts w:ascii="Helvetica" w:hAnsi="Helvetica" w:cs="Helvetica"/>
          <w:color w:val="333333"/>
          <w:sz w:val="16"/>
          <w:szCs w:val="16"/>
          <w:u w:val="single"/>
          <w:vertAlign w:val="superscript"/>
        </w:rPr>
        <w:t>o</w:t>
      </w:r>
      <w:r>
        <w:rPr>
          <w:rFonts w:ascii="Helvetica" w:hAnsi="Helvetica" w:cs="Helvetica"/>
          <w:color w:val="333333"/>
          <w:sz w:val="21"/>
          <w:szCs w:val="21"/>
        </w:rPr>
        <w:t>-I, Art. 18, tributadas pelo Anexo V, da Lei Complementar 123/2006, deverão observar a relação entre gastos com pessoal e faturamento acumulado nos últimos 12 meses e se esse índice for igual ou superior a 28% serão tributadas pelo Anexo III, caso seja inferior, permanecerão no mesmo anexo. As atividades sujeitas a essa regra são as seguintes: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 - medicina, inclusive laboratorial e enfermagem;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II - medicina veterinária;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III - odontologia;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IV - psicologia, psicanálise, terapia ocupacional, acupuntura,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podologia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, fonoaudiologia, clínicas de nutrição e de vacinação e bancos de leite;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 - serviços de comissária, de despachantes, de tradução e de interpretação;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VI - arquitetura, engenharia, medição, cartografia, topografia, geologia, geodesia, testes, suporte e análises técnicas e tecnológicas, pesquisa, design, desenho e agronomia;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VI - engenharia, medição, cartografia, topografia, geologia, geodesia, testes, suporte e análises técnicas e tecnológicas, pesquisa, design, desenho e agronomia;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VII - representação comercial e demais atividades de intermediação de negócios e serviços de terceiros;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VIII - perícia, leilão e avaliação;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IX - auditoria, economia, consultoria, gestão, organização, controle e administração;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X - jornalismo e publicidade;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XI - agenciamento, exceto de mão de obra;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XII - outras atividades do setor de serviços que tenham por finalidade a prestação de serviços decorrentes do exercício de atividade intelectual, de natureza técnica, científica, desportiva, artística ou cultural, que constitua profissão regulamentada ou não, desde que não sujeitas à tributação na forma dos Anexos III, IV ou V desta Lei Complementar.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XII - outras atividades do setor de serviços que tenham por finalidade a prestação de serviços decorrentes do exercício de atividade intelectual, de natureza técnica, científica, desportiva, artística ou cultural, que constitua profissão regulamentada ou não, desde que não sujeitas à tributação na forma dos Anexos III ou IV desta Lei Complementar.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Exemplo: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Um representante comercial com faturamento acumulado nos últimos 12 meses de R$ 120.000,00, possui um quadro de funcionários que no acumulado dos últimos 12 meses totalizou um gasto de R$ 35.000,00, portanto, a relação entre folha de pessoal e faturamento totalizou em 29,16% (35.000,00/120.000,00). Dessa forma, a empresa deverá aplicar as alíquotas previstas no Anexo III, pois o índice superou 28%.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pStyle w:val="Ttulo4"/>
        <w:shd w:val="clear" w:color="auto" w:fill="FFFFFF"/>
        <w:spacing w:before="150" w:after="150"/>
        <w:jc w:val="center"/>
        <w:rPr>
          <w:rFonts w:ascii="Helvetica" w:hAnsi="Helvetica" w:cs="Helvetica"/>
          <w:b w:val="0"/>
          <w:bCs w:val="0"/>
          <w:color w:val="333333"/>
          <w:sz w:val="27"/>
          <w:szCs w:val="27"/>
        </w:rPr>
      </w:pPr>
      <w:r>
        <w:rPr>
          <w:rStyle w:val="Forte"/>
          <w:rFonts w:ascii="Helvetica" w:hAnsi="Helvetica" w:cs="Helvetica"/>
          <w:b/>
          <w:bCs/>
          <w:color w:val="333333"/>
          <w:sz w:val="27"/>
          <w:szCs w:val="27"/>
        </w:rPr>
        <w:t>ISS máximo de 5%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Outro ponto importante a ser observado na nova sistemática de cálculo do Simples Nacional é a aplicabilidade de uma alíquota máxima de ISS devido que compõe a alíquota efetiva total. Difícil? Calma que explicaremos detalhadamente esse cálculo.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Exemplo: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Uma empresa de prestação de serviço tributada pelo Anexo III, com uma Receita Bruta acumulada nos últimos 12 meses de R$ 3.000.000,00 (5ª faixa) e com um faturamento no mês de R$ 260.000,00 aplicará uma alíquota efetiva de 16,81%, conforme cálculo abaixo: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Alíquota efetiva = [(RBT12 *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Alíq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– PD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]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/RBT12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Alíquota efetiva = [(3.000.000,00 * 21%) – 125.640,00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]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/3.000.000,00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Alíquota efetiva = (630.000,00 – 126.640,00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)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/3.000.000,00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Alíquota efetiva = 504.360,00 / 3.000.000,00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Alíquota efetiva = 0,1681 ou 16,81%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Porém, realizando a repartição de alíquota efetiva final, descobrimos que a alíquota aplicada supera 5%, conforme demonstrado abaixo: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Percentual de Repartição dos Tributos (</w:t>
      </w:r>
      <w:proofErr w:type="gramStart"/>
      <w:r>
        <w:rPr>
          <w:rStyle w:val="Forte"/>
          <w:rFonts w:ascii="Helvetica" w:hAnsi="Helvetica" w:cs="Helvetica"/>
          <w:color w:val="333333"/>
          <w:sz w:val="21"/>
          <w:szCs w:val="21"/>
        </w:rPr>
        <w:t>vide Anexo</w:t>
      </w:r>
      <w:proofErr w:type="gramEnd"/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 III da Lei 155/2016):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042"/>
        <w:gridCol w:w="1024"/>
        <w:gridCol w:w="1195"/>
        <w:gridCol w:w="1588"/>
        <w:gridCol w:w="1195"/>
        <w:gridCol w:w="1195"/>
      </w:tblGrid>
      <w:tr w:rsidR="00C34740" w:rsidTr="00C34740">
        <w:trPr>
          <w:trHeight w:val="510"/>
          <w:jc w:val="center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Faixas</w:t>
            </w:r>
          </w:p>
        </w:tc>
        <w:tc>
          <w:tcPr>
            <w:tcW w:w="6360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Percentual de Repartição dos Tributos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9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IRPJ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CSLL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proofErr w:type="spellStart"/>
            <w:proofErr w:type="gramStart"/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Cofins</w:t>
            </w:r>
            <w:proofErr w:type="spellEnd"/>
            <w:proofErr w:type="gramEnd"/>
          </w:p>
        </w:tc>
        <w:tc>
          <w:tcPr>
            <w:tcW w:w="1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PIS/</w:t>
            </w:r>
            <w:proofErr w:type="gramStart"/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Pasep</w:t>
            </w:r>
            <w:proofErr w:type="gramEnd"/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CPP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ISS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  <w:r>
              <w:rPr>
                <w:rFonts w:ascii="Helvetica" w:hAnsi="Helvetica" w:cs="Helvetica"/>
                <w:color w:val="333333"/>
                <w:sz w:val="16"/>
                <w:szCs w:val="16"/>
                <w:u w:val="single"/>
                <w:vertAlign w:val="superscript"/>
              </w:rPr>
              <w:t>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 Faixa</w:t>
            </w:r>
          </w:p>
        </w:tc>
        <w:tc>
          <w:tcPr>
            <w:tcW w:w="9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4,00%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3,50%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12,82%</w:t>
            </w:r>
          </w:p>
        </w:tc>
        <w:tc>
          <w:tcPr>
            <w:tcW w:w="1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2,78%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43,40%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33,50%</w:t>
            </w:r>
          </w:p>
        </w:tc>
      </w:tr>
    </w:tbl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Alíquota efetiva = 0,1681 x 33,50% = 0,0563 ou 5,63%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Esse excedente de 0,63% deverá ser destinado aos outros tributos federais, conforme demonstraremos a seguir: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Percentual de Repartição dos Tributos quanto alíquota do ISS superar 5% (</w:t>
      </w:r>
      <w:proofErr w:type="gramStart"/>
      <w:r>
        <w:rPr>
          <w:rStyle w:val="Forte"/>
          <w:rFonts w:ascii="Helvetica" w:hAnsi="Helvetica" w:cs="Helvetica"/>
          <w:color w:val="333333"/>
          <w:sz w:val="21"/>
          <w:szCs w:val="21"/>
        </w:rPr>
        <w:t>vide Anexo</w:t>
      </w:r>
      <w:proofErr w:type="gramEnd"/>
      <w:r>
        <w:rPr>
          <w:rStyle w:val="Forte"/>
          <w:rFonts w:ascii="Helvetica" w:hAnsi="Helvetica" w:cs="Helvetica"/>
          <w:color w:val="333333"/>
          <w:sz w:val="21"/>
          <w:szCs w:val="21"/>
        </w:rPr>
        <w:t xml:space="preserve"> III da Lei 155/2016):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434"/>
        <w:gridCol w:w="1076"/>
        <w:gridCol w:w="1434"/>
        <w:gridCol w:w="1656"/>
        <w:gridCol w:w="1434"/>
      </w:tblGrid>
      <w:tr w:rsidR="00C34740" w:rsidTr="00C34740">
        <w:trPr>
          <w:trHeight w:val="300"/>
          <w:jc w:val="center"/>
        </w:trPr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Impostos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IRPJ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CSLL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proofErr w:type="spellStart"/>
            <w:proofErr w:type="gramStart"/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Cofins</w:t>
            </w:r>
            <w:proofErr w:type="spellEnd"/>
            <w:proofErr w:type="gramEnd"/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PIS/</w:t>
            </w:r>
            <w:proofErr w:type="gramStart"/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Pasep</w:t>
            </w:r>
            <w:proofErr w:type="gramEnd"/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Style w:val="Forte"/>
                <w:rFonts w:ascii="Helvetica" w:hAnsi="Helvetica" w:cs="Helvetica"/>
                <w:color w:val="333333"/>
                <w:sz w:val="21"/>
                <w:szCs w:val="21"/>
              </w:rPr>
              <w:t>CPP</w:t>
            </w:r>
          </w:p>
        </w:tc>
      </w:tr>
      <w:tr w:rsidR="00C34740" w:rsidTr="00C34740">
        <w:trPr>
          <w:trHeight w:val="300"/>
          <w:jc w:val="center"/>
        </w:trPr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5ª Faixa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6,02%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5,26%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19,28%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4,18%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34740" w:rsidRDefault="00C34740">
            <w:pPr>
              <w:jc w:val="center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65,26%</w:t>
            </w:r>
          </w:p>
        </w:tc>
      </w:tr>
    </w:tbl>
    <w:p w:rsidR="00C34740" w:rsidRDefault="00C34740" w:rsidP="00C34740">
      <w:pPr>
        <w:shd w:val="clear" w:color="auto" w:fill="FFFFFF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Alíquota efetiva = 16,81% - 5% (</w:t>
      </w:r>
      <w:proofErr w:type="spellStart"/>
      <w:proofErr w:type="gramStart"/>
      <w:r>
        <w:rPr>
          <w:rStyle w:val="Forte"/>
          <w:rFonts w:ascii="Helvetica" w:hAnsi="Helvetica" w:cs="Helvetica"/>
          <w:color w:val="333333"/>
          <w:sz w:val="21"/>
          <w:szCs w:val="21"/>
        </w:rPr>
        <w:t>iss</w:t>
      </w:r>
      <w:proofErr w:type="spellEnd"/>
      <w:proofErr w:type="gramEnd"/>
      <w:r>
        <w:rPr>
          <w:rStyle w:val="Forte"/>
          <w:rFonts w:ascii="Helvetica" w:hAnsi="Helvetica" w:cs="Helvetica"/>
          <w:color w:val="333333"/>
          <w:sz w:val="21"/>
          <w:szCs w:val="21"/>
        </w:rPr>
        <w:t>) = 11,81%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IRPJ: 11,81% x 6,02% = 0,71%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CSLL: 11,81% x 5,26% = 0,62%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COFINS: 11,81% x 19,28% = 2,28%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t>PIS/PASEP: 11,81% x 4,18% = 0,49%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Forte"/>
          <w:rFonts w:ascii="Helvetica" w:hAnsi="Helvetica" w:cs="Helvetica"/>
          <w:color w:val="333333"/>
          <w:sz w:val="21"/>
          <w:szCs w:val="21"/>
        </w:rPr>
        <w:lastRenderedPageBreak/>
        <w:t>CPP: 11,81% x 65,26% = 7,71%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Somando todos esses valores com o ISS encontramos novamente a alíquota de 16,81%.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pStyle w:val="Ttulo4"/>
        <w:shd w:val="clear" w:color="auto" w:fill="FFFFFF"/>
        <w:spacing w:before="150" w:after="150"/>
        <w:jc w:val="center"/>
        <w:rPr>
          <w:rFonts w:ascii="Helvetica" w:hAnsi="Helvetica" w:cs="Helvetica"/>
          <w:b w:val="0"/>
          <w:bCs w:val="0"/>
          <w:color w:val="333333"/>
          <w:sz w:val="27"/>
          <w:szCs w:val="27"/>
        </w:rPr>
      </w:pPr>
      <w:r>
        <w:rPr>
          <w:rStyle w:val="Forte"/>
          <w:rFonts w:ascii="Helvetica" w:hAnsi="Helvetica" w:cs="Helvetica"/>
          <w:b/>
          <w:bCs/>
          <w:color w:val="333333"/>
          <w:sz w:val="27"/>
          <w:szCs w:val="27"/>
        </w:rPr>
        <w:t>ISS/ICMS fora do Simples Nacional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Uma regra que causará bastante conflito para as empresas optantes pelo Simples Nacional é a previsão do cálculo em separado do ICMS e ISS, aplicando todas as regras de uma empresa comum (Lucro Presumido/Real), quando a Receita Bruta acumulada ultrapassar R$ 3.600.000,00 até o limite de R$ 4.800.000,00. Ou seja, quando a empresa do Simples Nacional ultrapassar o antigo limite de R$ 3.600.000,00 tornara-se contribuinte de ISS/ICMS no Município e no Estado, respectivamente, e os demais tributos permanecem no DAS.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C34740" w:rsidRDefault="00C34740" w:rsidP="00C34740">
      <w:pPr>
        <w:shd w:val="clear" w:color="auto" w:fill="FFFFFF"/>
        <w:jc w:val="both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Essa mudança retoma a antiga sistemática do Simples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Federa,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o que acaba onerando as pequenas empresas pelo alto custo e burocracia complicada, principalmente para o recolhimento do ICMS.</w:t>
      </w:r>
    </w:p>
    <w:p w:rsidR="004B7DC7" w:rsidRPr="00C34740" w:rsidRDefault="004B7DC7" w:rsidP="00C34740">
      <w:bookmarkStart w:id="0" w:name="_GoBack"/>
      <w:bookmarkEnd w:id="0"/>
    </w:p>
    <w:sectPr w:rsidR="004B7DC7" w:rsidRPr="00C34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740"/>
    <w:rsid w:val="004B7DC7"/>
    <w:rsid w:val="00C3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347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7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7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7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Fontepargpadro"/>
    <w:uiPriority w:val="99"/>
    <w:semiHidden/>
    <w:unhideWhenUsed/>
    <w:rsid w:val="00C34740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3474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347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7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7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7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Fontepargpadro"/>
    <w:uiPriority w:val="99"/>
    <w:semiHidden/>
    <w:unhideWhenUsed/>
    <w:rsid w:val="00C34740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347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CP/Lcp123.htm" TargetMode="External"/><Relationship Id="rId5" Type="http://schemas.openxmlformats.org/officeDocument/2006/relationships/hyperlink" Target="http://www.planalto.gov.br/ccivil_03/leis/LCP/Lcp155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1494</Words>
  <Characters>8071</Characters>
  <Application>Microsoft Office Word</Application>
  <DocSecurity>0</DocSecurity>
  <Lines>67</Lines>
  <Paragraphs>19</Paragraphs>
  <ScaleCrop>false</ScaleCrop>
  <Company/>
  <LinksUpToDate>false</LinksUpToDate>
  <CharactersWithSpaces>9546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2018-04-23T21:00:00Z</dcterms:created>
  <dcterms:modified xsi:type="dcterms:W3CDTF">2018-04-23T21:01:00Z</dcterms:modified>
</cp:coreProperties>
</file>