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after="161" w:line="240" w:lineRule="auto"/>
        <w:jc w:val="center"/>
        <w:outlineLvl w:val="0"/>
        <w:rPr>
          <w:rFonts w:ascii="Montserrat" w:eastAsia="Times New Roman" w:hAnsi="Montserrat" w:cs="Times New Roman"/>
          <w:color w:val="364957"/>
          <w:kern w:val="36"/>
          <w:sz w:val="52"/>
          <w:szCs w:val="52"/>
          <w:lang w:eastAsia="pt-BR"/>
        </w:rPr>
      </w:pPr>
      <w:proofErr w:type="gramStart"/>
      <w:r w:rsidRPr="001743D6">
        <w:rPr>
          <w:rFonts w:ascii="Montserrat" w:eastAsia="Times New Roman" w:hAnsi="Montserrat" w:cs="Times New Roman"/>
          <w:color w:val="364957"/>
          <w:kern w:val="36"/>
          <w:sz w:val="52"/>
          <w:szCs w:val="52"/>
          <w:lang w:eastAsia="pt-BR"/>
        </w:rPr>
        <w:t>e</w:t>
      </w:r>
      <w:proofErr w:type="gramEnd"/>
      <w:r w:rsidRPr="001743D6">
        <w:rPr>
          <w:rFonts w:ascii="Montserrat" w:eastAsia="Times New Roman" w:hAnsi="Montserrat" w:cs="Times New Roman"/>
          <w:color w:val="364957"/>
          <w:kern w:val="36"/>
          <w:sz w:val="52"/>
          <w:szCs w:val="52"/>
          <w:lang w:eastAsia="pt-BR"/>
        </w:rPr>
        <w:t>-SOCIAL exemplos de penalidades</w:t>
      </w:r>
    </w:p>
    <w:p w:rsidR="006141F8" w:rsidRDefault="006141F8"/>
    <w:p w:rsidR="001743D6" w:rsidRDefault="001743D6" w:rsidP="001743D6">
      <w:pPr>
        <w:pStyle w:val="Ttulo3"/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rPr>
          <w:rFonts w:ascii="Montserrat" w:hAnsi="Montserrat"/>
          <w:b w:val="0"/>
          <w:bCs w:val="0"/>
          <w:color w:val="364957"/>
          <w:sz w:val="38"/>
          <w:szCs w:val="38"/>
        </w:rPr>
      </w:pPr>
      <w:r>
        <w:rPr>
          <w:rFonts w:ascii="Montserrat" w:hAnsi="Montserrat"/>
          <w:b w:val="0"/>
          <w:bCs w:val="0"/>
          <w:color w:val="364957"/>
          <w:sz w:val="38"/>
          <w:szCs w:val="38"/>
        </w:rPr>
        <w:t>A partir de janeiro de 2018 inicia os envios para alguns tipos de empresas</w:t>
      </w:r>
    </w:p>
    <w:p w:rsidR="001743D6" w:rsidRDefault="001743D6" w:rsidP="001743D6">
      <w:pPr>
        <w:shd w:val="clear" w:color="auto" w:fill="FFFFFF"/>
        <w:jc w:val="center"/>
        <w:rPr>
          <w:rFonts w:ascii="Roboto" w:hAnsi="Roboto"/>
          <w:color w:val="666666"/>
          <w:sz w:val="24"/>
          <w:szCs w:val="24"/>
        </w:rPr>
      </w:pPr>
      <w:bookmarkStart w:id="0" w:name="_GoBack"/>
      <w:bookmarkEnd w:id="0"/>
      <w:r>
        <w:rPr>
          <w:rFonts w:ascii="Roboto" w:hAnsi="Roboto"/>
          <w:noProof/>
          <w:color w:val="666666"/>
          <w:lang w:eastAsia="pt-BR"/>
        </w:rPr>
        <w:drawing>
          <wp:inline distT="0" distB="0" distL="0" distR="0">
            <wp:extent cx="2819400" cy="1619250"/>
            <wp:effectExtent l="0" t="0" r="0" b="0"/>
            <wp:docPr id="1" name="Imagem 1" descr="https://irp-cdn.multiscreensite.com/ad694ca6/dms3rep/multi/desktop/e-so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rp-cdn.multiscreensite.com/ad694ca6/dms3rep/multi/desktop/e-socia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43D6" w:rsidRDefault="001743D6" w:rsidP="001743D6">
      <w:pPr>
        <w:shd w:val="clear" w:color="auto" w:fill="FFFFFF"/>
        <w:jc w:val="center"/>
        <w:rPr>
          <w:rFonts w:ascii="Roboto" w:hAnsi="Roboto"/>
          <w:color w:val="666666"/>
          <w:sz w:val="24"/>
          <w:szCs w:val="24"/>
        </w:rPr>
      </w:pP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Quero transcrever aqui um texto muito prático escrito por </w:t>
      </w:r>
      <w:proofErr w:type="gramStart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um colega do portal contábeis</w:t>
      </w:r>
      <w:proofErr w:type="gramEnd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: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"Com a definição, por parte do governo, do início da transmissão dos dados do </w:t>
      </w:r>
      <w:proofErr w:type="spellStart"/>
      <w:proofErr w:type="gramStart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eSocial</w:t>
      </w:r>
      <w:proofErr w:type="spellEnd"/>
      <w:proofErr w:type="gramEnd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 para 8 de janeiro, as empresas começam a se deparar com necessidade urgente de revisar vários processos envolvidos na geração das informações necessárias para o envio dos eventos. Com a fiscalização mais rigorosa e a mudança de práticas, um dos grandes desafios é em relação ao prazo do envio dos eventos e, quem não cumprir, sofrerá penalidades.</w:t>
      </w:r>
    </w:p>
    <w:p w:rsidR="001743D6" w:rsidRPr="001743D6" w:rsidRDefault="001743D6" w:rsidP="001743D6">
      <w:pPr>
        <w:shd w:val="clear" w:color="auto" w:fill="FFFFFF"/>
        <w:spacing w:after="0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As primeiras obrigações (evento S1000 e as tabelas) deverão ser enviadas pelas empresas nos dois primeiros meses e entregues até o dia 28 de fevereiro. O segundo grupo de eventos, voltados aos eventos trabalhistas, poderão ser enviados nos meses de março e abril. A entrada do SST (Saúde e Segurança do Trabalhado) ainda não foi definida. O Comitê Gestor do </w:t>
      </w:r>
      <w:proofErr w:type="spellStart"/>
      <w:proofErr w:type="gramStart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eSocial</w:t>
      </w:r>
      <w:proofErr w:type="spellEnd"/>
      <w:proofErr w:type="gramEnd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 publicará nos próximos dias uma Nota Técnica para explicar detalhadamente o modelo de implantação e o cronograma específico das entradas das obrigações.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É importante registrar que não existe uma multa específica pelo ‘não envio’ do </w:t>
      </w:r>
      <w:proofErr w:type="spellStart"/>
      <w:proofErr w:type="gramStart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eSocial</w:t>
      </w:r>
      <w:proofErr w:type="spellEnd"/>
      <w:proofErr w:type="gramEnd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 – elas referem-se às informações enviadas de forma tardia ou em desacordo com o esperado pelos órgãos envolvidos.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Para ajudar as empresas, a </w:t>
      </w:r>
      <w:proofErr w:type="spellStart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Senior</w:t>
      </w:r>
      <w:proofErr w:type="spellEnd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 preparou uma lista com as situações mais críticas, passíveis de erros por parte das empresas, que poderão sofrer com multas altas, caso não cumpram plenamente essas situações.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Confira: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 xml:space="preserve">1. Não informar a admissão do funcionário: com o </w:t>
      </w:r>
      <w:proofErr w:type="spellStart"/>
      <w:proofErr w:type="gramStart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eSocial</w:t>
      </w:r>
      <w:proofErr w:type="spellEnd"/>
      <w:proofErr w:type="gramEnd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, o envio das informações relacionadas a admissão de novos colaboradores deverá ocorrer um dia antes do início das atividades laborais desse colaborador. Atualmente, a multa varia de R$ 402,53 a 805,06 por funcionário, e pode dobrar em caso de reincidência. Com o início da validade da Reforma Trabalhista, esses valores serão alterados para R$ 3.000,00 para grandes empresas e R$ 800,00 pra microempresas - dobrando em caso de reincidência e sendo corrigidos pelo IPCA.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2. Não informar alterações contratuais ou cadastrais: uma vez que cabe ao empregador a responsabilidade de manter os dados atualizados, a multa por falta de saneamento dos dados dos funcionários varia de R$ 201,27 a R$ 402,54.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lastRenderedPageBreak/>
        <w:t>3. Não informar afastamento temporário: independente do motivo, a empresa tem a obrigação de informar os afastamentos ocorridos com seus funcionários e, a falta de comunicação poderá custar à empresa de R$ 1.812,87 a R$ 181.284,63 em multa.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4. Não informar o atestado de saúde ocupacional (ASO): conforme determinado pela Norma Regulamentadora nº 7 do Ministério do Trabalho e Emprego, o funcionário deve realizar exames médicos em várias situações. Caso contrário, a empresa terá de arcar com uma multa que varia entre R$ 402,53 e R$ 4.025,33.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5. Não informar acidente de trabalho: a empresa é obrigada a informar ao governo qualquer situação de acidente de trabalho com seus funcionários em até um dia útil subsequente à ocorrência – exceto em caso de óbito, quando o envio da informação se torna imediato. Não cumprindo a empresa o prazo previsto, a multa poderá variar entre o limite mínimo e máximo do salário de contribuição, podendo dobrar em caso de reincidência.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6. Não informar sobre riscos: funcionários expostos a agentes nocivos químicos, físicos e biológicos ou associação de agentes prejudiciais à saúde ou à integridade física, devem ser claramente informados sobre tais riscos uma vez que, em alguns casos, podem ter direito à aposentadoria especial. As empresas que descumprirem essa determinação poderão receber multas que variam entre R$ 1.812,87 e R$ 181.284,63, determinadas com base na gravidade de cada situação.</w:t>
      </w:r>
    </w:p>
    <w:p w:rsidR="001743D6" w:rsidRPr="001743D6" w:rsidRDefault="001743D6" w:rsidP="001743D6">
      <w:pPr>
        <w:pBdr>
          <w:top w:val="single" w:sz="2" w:space="0" w:color="333333"/>
          <w:left w:val="single" w:sz="2" w:space="0" w:color="333333"/>
          <w:bottom w:val="single" w:sz="2" w:space="0" w:color="333333"/>
          <w:right w:val="single" w:sz="2" w:space="0" w:color="333333"/>
        </w:pBd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</w:pPr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Atenção: uma vez identificada uma infração, as autuações podem retroagir em até cinco anos, caso sejam identificadas falhas no registro e/ou envio de informações.</w:t>
      </w:r>
      <w:proofErr w:type="gramStart"/>
      <w:r w:rsidRPr="001743D6">
        <w:rPr>
          <w:rFonts w:ascii="Roboto" w:eastAsia="Times New Roman" w:hAnsi="Roboto" w:cs="Times New Roman"/>
          <w:color w:val="666666"/>
          <w:sz w:val="24"/>
          <w:szCs w:val="24"/>
          <w:lang w:eastAsia="pt-BR"/>
        </w:rPr>
        <w:t>"</w:t>
      </w:r>
      <w:proofErr w:type="gramEnd"/>
    </w:p>
    <w:p w:rsidR="001743D6" w:rsidRDefault="001743D6" w:rsidP="001743D6">
      <w:pPr>
        <w:shd w:val="clear" w:color="auto" w:fill="FFFFFF"/>
        <w:rPr>
          <w:rFonts w:ascii="Roboto" w:hAnsi="Roboto"/>
          <w:color w:val="666666"/>
          <w:sz w:val="24"/>
          <w:szCs w:val="24"/>
        </w:rPr>
      </w:pPr>
    </w:p>
    <w:p w:rsidR="001743D6" w:rsidRDefault="001743D6"/>
    <w:sectPr w:rsidR="001743D6" w:rsidSect="001743D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tserrat">
    <w:altName w:val="Times New Roman"/>
    <w:panose1 w:val="00000000000000000000"/>
    <w:charset w:val="00"/>
    <w:family w:val="roman"/>
    <w:notTrueType/>
    <w:pitch w:val="default"/>
  </w:font>
  <w:font w:name="Roboto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43D6"/>
    <w:rsid w:val="001743D6"/>
    <w:rsid w:val="00614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743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43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43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43D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74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43D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74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743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43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43D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43D6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743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743D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743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05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14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84856">
          <w:marLeft w:val="0"/>
          <w:marRight w:val="0"/>
          <w:marTop w:val="0"/>
          <w:marBottom w:val="0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  <w:div w:id="12740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674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  <w:div w:id="1907102113">
          <w:marLeft w:val="0"/>
          <w:marRight w:val="0"/>
          <w:marTop w:val="0"/>
          <w:marBottom w:val="525"/>
          <w:divBdr>
            <w:top w:val="single" w:sz="2" w:space="0" w:color="333333"/>
            <w:left w:val="single" w:sz="2" w:space="0" w:color="333333"/>
            <w:bottom w:val="single" w:sz="2" w:space="0" w:color="333333"/>
            <w:right w:val="single" w:sz="2" w:space="0" w:color="33333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614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</dc:creator>
  <cp:lastModifiedBy>DANIEL</cp:lastModifiedBy>
  <cp:revision>1</cp:revision>
  <dcterms:created xsi:type="dcterms:W3CDTF">2018-04-18T18:27:00Z</dcterms:created>
  <dcterms:modified xsi:type="dcterms:W3CDTF">2018-04-18T18:29:00Z</dcterms:modified>
</cp:coreProperties>
</file>