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682" w:rsidRPr="001E1682" w:rsidRDefault="001E1682" w:rsidP="001E1682">
      <w:pPr>
        <w:shd w:val="clear" w:color="auto" w:fill="FFFFFF"/>
        <w:spacing w:before="300" w:after="0" w:line="240" w:lineRule="auto"/>
        <w:outlineLvl w:val="0"/>
        <w:rPr>
          <w:rFonts w:ascii="inherit" w:eastAsia="Times New Roman" w:hAnsi="inherit" w:cs="Arial"/>
          <w:color w:val="00B39B"/>
          <w:kern w:val="36"/>
          <w:sz w:val="54"/>
          <w:szCs w:val="54"/>
          <w:lang w:eastAsia="pt-BR"/>
        </w:rPr>
      </w:pPr>
      <w:r w:rsidRPr="001E1682">
        <w:rPr>
          <w:rFonts w:ascii="inherit" w:eastAsia="Times New Roman" w:hAnsi="inherit" w:cs="Arial"/>
          <w:color w:val="00B39B"/>
          <w:kern w:val="36"/>
          <w:sz w:val="54"/>
          <w:szCs w:val="54"/>
          <w:lang w:eastAsia="pt-BR"/>
        </w:rPr>
        <w:t>ECD e ECF: quais são as diferenças?</w:t>
      </w:r>
    </w:p>
    <w:p w:rsidR="001E1682" w:rsidRPr="001E1682" w:rsidRDefault="001E1682" w:rsidP="001E1682">
      <w:pPr>
        <w:shd w:val="clear" w:color="auto" w:fill="FFFFFF"/>
        <w:spacing w:line="0" w:lineRule="auto"/>
        <w:rPr>
          <w:rFonts w:ascii="Helvetica" w:eastAsia="Times New Roman" w:hAnsi="Helvetica" w:cs="Helvetica"/>
          <w:color w:val="FFFFFF"/>
          <w:sz w:val="2"/>
          <w:szCs w:val="2"/>
          <w:lang w:eastAsia="pt-BR"/>
        </w:rPr>
      </w:pPr>
      <w:proofErr w:type="gramStart"/>
      <w:r w:rsidRPr="001E1682">
        <w:rPr>
          <w:rFonts w:ascii="Helvetica" w:eastAsia="Times New Roman" w:hAnsi="Helvetica" w:cs="Helvetica"/>
          <w:b/>
          <w:bCs/>
          <w:caps/>
          <w:color w:val="32363B"/>
          <w:sz w:val="17"/>
          <w:lang w:eastAsia="pt-BR"/>
        </w:rPr>
        <w:t>1</w:t>
      </w:r>
      <w:proofErr w:type="gramEnd"/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A Escrituração Contábil Digital (ECD) e a Escrituração Contábil Fiscal (ECF) possuem naturezas e objetivos diferentes. Mas você realmente sabe quais são as diferenças entre elas e para que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servem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? Não tem problema, vem com a gente conferir algumas distinções entre a ECD e a ECF que não podem passar despercebidas. Confira!</w:t>
      </w:r>
    </w:p>
    <w:p w:rsidR="001E1682" w:rsidRPr="001E1682" w:rsidRDefault="001E1682" w:rsidP="001E1682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color w:val="00B39B"/>
          <w:sz w:val="45"/>
          <w:szCs w:val="45"/>
          <w:lang w:eastAsia="pt-BR"/>
        </w:rPr>
      </w:pPr>
      <w:r w:rsidRPr="001E1682">
        <w:rPr>
          <w:rFonts w:ascii="inherit" w:eastAsia="Times New Roman" w:hAnsi="inherit" w:cs="Arial"/>
          <w:b/>
          <w:bCs/>
          <w:color w:val="00B39B"/>
          <w:sz w:val="45"/>
          <w:lang w:eastAsia="pt-BR"/>
        </w:rPr>
        <w:t>O que é ECD?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Instituída para fins fiscais e previdenciários, a ECD é parte integrante do Sistema Público de Escrituração Digital (SPED) e surgiu para substituir a escrituração que antes era realizada em papel. Para a versão digital, compreende a transmissão dos livros:</w:t>
      </w:r>
    </w:p>
    <w:p w:rsidR="001E1682" w:rsidRPr="001E1682" w:rsidRDefault="001E1682" w:rsidP="001E16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Livro Diário e seus auxiliares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, se tiver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;</w:t>
      </w:r>
    </w:p>
    <w:p w:rsidR="001E1682" w:rsidRPr="001E1682" w:rsidRDefault="001E1682" w:rsidP="001E16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Livro Razão e seus auxiliares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, se tiver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;</w:t>
      </w:r>
    </w:p>
    <w:p w:rsidR="001E1682" w:rsidRPr="001E1682" w:rsidRDefault="001E1682" w:rsidP="001E16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Livro Balancetes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Diários, Balanços e fichas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 de lançamento comprobatórias dos assentamentos neles transcritos.</w:t>
      </w:r>
    </w:p>
    <w:p w:rsidR="001E1682" w:rsidRPr="001E1682" w:rsidRDefault="001E1682" w:rsidP="001E1682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00B39B"/>
          <w:sz w:val="36"/>
          <w:szCs w:val="36"/>
          <w:lang w:eastAsia="pt-BR"/>
        </w:rPr>
      </w:pPr>
      <w:r w:rsidRPr="001E1682">
        <w:rPr>
          <w:rFonts w:ascii="inherit" w:eastAsia="Times New Roman" w:hAnsi="inherit" w:cs="Arial"/>
          <w:b/>
          <w:bCs/>
          <w:color w:val="00B39B"/>
          <w:sz w:val="36"/>
          <w:lang w:eastAsia="pt-BR"/>
        </w:rPr>
        <w:t>Quem está obrigado à entrega da ECD?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Para o ano de 2017, estão obrigadas a adotar a ECD, a partir dos fatos ocorridos em 1° de janeiro de 2016:</w:t>
      </w:r>
    </w:p>
    <w:p w:rsidR="001E1682" w:rsidRPr="001E1682" w:rsidRDefault="001E1682" w:rsidP="001E16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Pessoas jurídicas tributadas com base no lucro real;</w:t>
      </w:r>
    </w:p>
    <w:p w:rsidR="001E1682" w:rsidRPr="001E1682" w:rsidRDefault="001E1682" w:rsidP="001E16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Pessoas jurídicas tributadas com base no lucro presumido, que distribuem a título de lucros, sem incidência do Imposto sobre a Renda Retido na Fonte (IRRF), uma parcela dos dividendos ou lucros superiores ao valor da base de cálculo do imposto, diminuída de todos os impostos e contribuições a que estiver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sujeita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;</w:t>
      </w:r>
    </w:p>
    <w:p w:rsidR="001E1682" w:rsidRPr="001E1682" w:rsidRDefault="001E1682" w:rsidP="001E16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Pessoas jurídicas imunes e isentas que, em relação aos fatos ocorridos no ano-calendário, foram obrigadas a apresentar a Escrituração Digital das Contribuições, conforme Instrução Normativa RFB 1.252/2012;</w:t>
      </w:r>
    </w:p>
    <w:p w:rsidR="001E1682" w:rsidRPr="001E1682" w:rsidRDefault="001E1682" w:rsidP="001E16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Sociedades em Conta de Participação (SCP), como livros auxiliares do sócio ostensivo.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A ECD torna-se facultativa para outras sociedades empresariais.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As micro e empresas de pequeno porte optantes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 pelo Simples Nacional estão dispensadas dessa obrigação.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 </w:t>
      </w:r>
    </w:p>
    <w:p w:rsidR="001E1682" w:rsidRPr="001E1682" w:rsidRDefault="001E1682" w:rsidP="001E1682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color w:val="00B39B"/>
          <w:sz w:val="45"/>
          <w:szCs w:val="45"/>
          <w:lang w:eastAsia="pt-BR"/>
        </w:rPr>
      </w:pPr>
      <w:r w:rsidRPr="001E1682">
        <w:rPr>
          <w:rFonts w:ascii="inherit" w:eastAsia="Times New Roman" w:hAnsi="inherit" w:cs="Arial"/>
          <w:b/>
          <w:bCs/>
          <w:color w:val="00B39B"/>
          <w:sz w:val="45"/>
          <w:lang w:eastAsia="pt-BR"/>
        </w:rPr>
        <w:t>O que é ECF?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A ECF é uma obrigação acessória que tem por objetivo interligar os dados contábeis e fiscais que se referem à apuração do IRPJ e da CSLL,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agilizando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 o processo de acesso do Fisco e tornando mais eficiente o processo de fiscalização através do cruzamento de dados digital.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 ECF foi implantada com o intuito de substituir a DIPJ (Declaração de Imposto de Renda da Pessoa Jurídica), dando ao Fisco um leque maior de informações. A ECF é composta por 14 blocos, o que a torna mais complexa e trabalhosa, obrigando as empresas a reforçar a geração de informações corretas no momento do lançamento. Uma das novidades trazidas pela nova obrigação é a exclusão do preenchimento da ficha referente à apuração do IPI, cujo trabalho era extenso.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Para ser gerada, a ECF precisa seguir o leiaute apresentado no Manual de Orientação da Declaração, que descreve todas as etapas para a entrega, além de informações no caso de necessitar retificar a declaração.</w:t>
      </w:r>
    </w:p>
    <w:p w:rsidR="001E1682" w:rsidRPr="001E1682" w:rsidRDefault="001E1682" w:rsidP="001E1682">
      <w:pPr>
        <w:shd w:val="clear" w:color="auto" w:fill="FFFFFF"/>
        <w:spacing w:before="300" w:after="150" w:line="240" w:lineRule="auto"/>
        <w:outlineLvl w:val="2"/>
        <w:rPr>
          <w:rFonts w:ascii="inherit" w:eastAsia="Times New Roman" w:hAnsi="inherit" w:cs="Arial"/>
          <w:color w:val="00B39B"/>
          <w:sz w:val="36"/>
          <w:szCs w:val="36"/>
          <w:lang w:eastAsia="pt-BR"/>
        </w:rPr>
      </w:pPr>
      <w:r w:rsidRPr="001E1682">
        <w:rPr>
          <w:rFonts w:ascii="inherit" w:eastAsia="Times New Roman" w:hAnsi="inherit" w:cs="Arial"/>
          <w:b/>
          <w:bCs/>
          <w:color w:val="00B39B"/>
          <w:sz w:val="36"/>
          <w:lang w:eastAsia="pt-BR"/>
        </w:rPr>
        <w:t>Quem está obrigado à entrega da ECF?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Para o ano de 2017, a obrigatoriedade é imposta a todas as pessoas jurídicas atuantes no Brasil, inclusive imunes e isentas, devendo apresentar seus dados a partir do ano-calendário de 2016.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Vale destacar que a ECF não se aplica a:</w:t>
      </w:r>
    </w:p>
    <w:p w:rsidR="001E1682" w:rsidRPr="001E1682" w:rsidRDefault="001E1682" w:rsidP="001E1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lastRenderedPageBreak/>
        <w:t>Pessoas jurídicas optantes pelo Regime Especial Unificado de Arrecadação de Tributos e Contribuições das quais micro e empresas de pequeno porte enquadradas (Simples Nacional);</w:t>
      </w:r>
    </w:p>
    <w:p w:rsidR="001E1682" w:rsidRPr="001E1682" w:rsidRDefault="001E1682" w:rsidP="001E1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Bem como aquelas entendidas como Autarquias, Fundações e Órgãos Públicos;</w:t>
      </w:r>
    </w:p>
    <w:p w:rsidR="001E1682" w:rsidRPr="001E1682" w:rsidRDefault="001E1682" w:rsidP="001E1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Pessoas jurídicas inativas;</w:t>
      </w:r>
    </w:p>
    <w:p w:rsidR="001E1682" w:rsidRPr="001E1682" w:rsidRDefault="001E1682" w:rsidP="001E16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Além das pessoas jurídicas que são imunes e isentas em relação aos fatos ocorridos no ano-calendário, aquelas que não foram obrigadas a apresentar a Escrituração Fiscal Digital para o PIS/</w:t>
      </w:r>
      <w:proofErr w:type="spellStart"/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Pasep</w:t>
      </w:r>
      <w:proofErr w:type="spellEnd"/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, da Contribuição para o Financiamento da Seguridade Social (</w:t>
      </w:r>
      <w:proofErr w:type="spell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Cofins</w:t>
      </w:r>
      <w:proofErr w:type="spell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) e da Contribuição Previdenciária sobre a Receita (</w:t>
      </w:r>
      <w:proofErr w:type="spell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EFD-Contribuições</w:t>
      </w:r>
      <w:proofErr w:type="spell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).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Em relação à ECF, o prazo final de entrega é o último dia útil do mês de julho, ou seja, na segunda-feira </w:t>
      </w:r>
      <w:r w:rsidRPr="001E1682">
        <w:rPr>
          <w:rFonts w:ascii="Arial" w:eastAsia="Times New Roman" w:hAnsi="Arial" w:cs="Arial"/>
          <w:b/>
          <w:bCs/>
          <w:color w:val="5D5D5D"/>
          <w:sz w:val="21"/>
          <w:lang w:eastAsia="pt-BR"/>
        </w:rPr>
        <w:t>31 de julho de 2017,</w:t>
      </w: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 relativo ao ano-calendário de 2016.</w:t>
      </w:r>
    </w:p>
    <w:p w:rsidR="001E1682" w:rsidRPr="001E1682" w:rsidRDefault="001E1682" w:rsidP="001E1682">
      <w:pPr>
        <w:shd w:val="clear" w:color="auto" w:fill="FFFFFF"/>
        <w:spacing w:before="300" w:after="150" w:line="240" w:lineRule="auto"/>
        <w:outlineLvl w:val="1"/>
        <w:rPr>
          <w:rFonts w:ascii="inherit" w:eastAsia="Times New Roman" w:hAnsi="inherit" w:cs="Arial"/>
          <w:color w:val="00B39B"/>
          <w:sz w:val="45"/>
          <w:szCs w:val="45"/>
          <w:lang w:eastAsia="pt-BR"/>
        </w:rPr>
      </w:pPr>
      <w:r w:rsidRPr="001E1682">
        <w:rPr>
          <w:rFonts w:ascii="inherit" w:eastAsia="Times New Roman" w:hAnsi="inherit" w:cs="Arial"/>
          <w:b/>
          <w:bCs/>
          <w:color w:val="00B39B"/>
          <w:sz w:val="45"/>
          <w:lang w:eastAsia="pt-BR"/>
        </w:rPr>
        <w:t>Qual a diferença entre ECD e ECF?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 ECD foi instituída para fins fiscais e previdenciários, enquanto a ECF é destinada a obter informações relativas a todas as operações que possam influenciar a composição e o valor devido da Contribuição Social sobre o Lucro Líquido (CSLL) e do Imposto sobre a Renda da Pessoa Jurídica (IRPJ).</w:t>
      </w:r>
    </w:p>
    <w:p w:rsidR="001E1682" w:rsidRPr="001E1682" w:rsidRDefault="001E1682" w:rsidP="001E168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Faz parte do envio digital da ECD os livros: Diário, Razão e Balancetes Diários, Balanços e Fichas de Lançamento. Já para pessoas jurídicas tributadas pelo Lucro Real, a ECF torna-se obrigatória à escrituração digital do Livro de Apuração do Lucro Real (</w:t>
      </w:r>
      <w:proofErr w:type="spell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Lalur</w:t>
      </w:r>
      <w:proofErr w:type="spell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). Os demais contribuintes </w:t>
      </w:r>
      <w:proofErr w:type="gramStart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valem-se</w:t>
      </w:r>
      <w:proofErr w:type="gramEnd"/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 xml:space="preserve"> de um leque de informações para a apuração da base de cálculo do IRPJ e CSLL.</w:t>
      </w:r>
    </w:p>
    <w:p w:rsidR="001E1682" w:rsidRPr="001E1682" w:rsidRDefault="001E1682" w:rsidP="001E1682">
      <w:pPr>
        <w:shd w:val="clear" w:color="auto" w:fill="FFFFFF"/>
        <w:spacing w:line="240" w:lineRule="auto"/>
        <w:rPr>
          <w:rFonts w:ascii="Arial" w:eastAsia="Times New Roman" w:hAnsi="Arial" w:cs="Arial"/>
          <w:color w:val="5D5D5D"/>
          <w:sz w:val="21"/>
          <w:szCs w:val="21"/>
          <w:lang w:eastAsia="pt-BR"/>
        </w:rPr>
      </w:pPr>
      <w:r w:rsidRPr="001E1682">
        <w:rPr>
          <w:rFonts w:ascii="Arial" w:eastAsia="Times New Roman" w:hAnsi="Arial" w:cs="Arial"/>
          <w:color w:val="5D5D5D"/>
          <w:sz w:val="21"/>
          <w:szCs w:val="21"/>
          <w:lang w:eastAsia="pt-BR"/>
        </w:rPr>
        <w:t>A ECF substitui a DIPJ, tanto as empresas optantes pelo Lucro Real quanto as optantes pelo Lucro Presumido, além das entidades isentas ou imunes do IRPJ e CSLL, como é o caso das Organizações Não Governamentais (ONGs).</w:t>
      </w:r>
    </w:p>
    <w:p w:rsidR="000D0A6F" w:rsidRDefault="000D0A6F"/>
    <w:sectPr w:rsidR="000D0A6F" w:rsidSect="001E16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F1C5A"/>
    <w:multiLevelType w:val="multilevel"/>
    <w:tmpl w:val="C32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931BBD"/>
    <w:multiLevelType w:val="multilevel"/>
    <w:tmpl w:val="C2D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2B5601"/>
    <w:multiLevelType w:val="multilevel"/>
    <w:tmpl w:val="D63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E1682"/>
    <w:rsid w:val="000D0A6F"/>
    <w:rsid w:val="001E1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A6F"/>
  </w:style>
  <w:style w:type="paragraph" w:styleId="Ttulo1">
    <w:name w:val="heading 1"/>
    <w:basedOn w:val="Normal"/>
    <w:link w:val="Ttulo1Char"/>
    <w:uiPriority w:val="9"/>
    <w:qFormat/>
    <w:rsid w:val="001E16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E16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1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6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E168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16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tflatcounter">
    <w:name w:val="at_flat_counter"/>
    <w:basedOn w:val="Fontepargpadro"/>
    <w:rsid w:val="001E1682"/>
  </w:style>
  <w:style w:type="paragraph" w:styleId="NormalWeb">
    <w:name w:val="Normal (Web)"/>
    <w:basedOn w:val="Normal"/>
    <w:uiPriority w:val="99"/>
    <w:semiHidden/>
    <w:unhideWhenUsed/>
    <w:rsid w:val="001E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E168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9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09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065694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737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</dc:creator>
  <cp:lastModifiedBy>Note</cp:lastModifiedBy>
  <cp:revision>1</cp:revision>
  <dcterms:created xsi:type="dcterms:W3CDTF">2018-04-15T02:58:00Z</dcterms:created>
  <dcterms:modified xsi:type="dcterms:W3CDTF">2018-04-15T02:59:00Z</dcterms:modified>
</cp:coreProperties>
</file>