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2E4" w:rsidRDefault="000852E4">
      <w:bookmarkStart w:id="0" w:name="_GoBack"/>
      <w:bookmarkEnd w:id="0"/>
      <w:r>
        <w:t xml:space="preserve">Jurisdição constitucional </w:t>
      </w:r>
    </w:p>
    <w:tbl>
      <w:tblPr>
        <w:tblW w:w="9750" w:type="dxa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654"/>
        <w:gridCol w:w="6096"/>
      </w:tblGrid>
      <w:tr w:rsidR="000852E4" w:rsidRPr="000852E4" w:rsidTr="000852E4">
        <w:trPr>
          <w:trHeight w:val="375"/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996600"/>
                <w:sz w:val="15"/>
                <w:szCs w:val="15"/>
                <w:lang w:eastAsia="pt-BR"/>
              </w:rPr>
              <w:t>Simulado:</w:t>
            </w:r>
            <w:r w:rsidRPr="000852E4">
              <w:rPr>
                <w:rFonts w:ascii="Verdana" w:eastAsia="Times New Roman" w:hAnsi="Verdana" w:cs="Times New Roman"/>
                <w:color w:val="9966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CCJ0044_SM_1 </w:t>
            </w:r>
          </w:p>
        </w:tc>
      </w:tr>
      <w:tr w:rsidR="000852E4" w:rsidRPr="000852E4" w:rsidTr="000852E4">
        <w:trPr>
          <w:trHeight w:val="30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996600"/>
                <w:sz w:val="15"/>
                <w:szCs w:val="15"/>
                <w:lang w:eastAsia="pt-BR"/>
              </w:rPr>
              <w:t>Aluno(a):</w:t>
            </w:r>
            <w:r w:rsidRPr="000852E4">
              <w:rPr>
                <w:rFonts w:ascii="Verdana" w:eastAsia="Times New Roman" w:hAnsi="Verdana" w:cs="Times New Roman"/>
                <w:color w:val="996600"/>
                <w:sz w:val="15"/>
                <w:lang w:eastAsia="pt-BR"/>
              </w:rPr>
              <w:t> </w:t>
            </w:r>
          </w:p>
        </w:tc>
        <w:tc>
          <w:tcPr>
            <w:tcW w:w="0" w:type="auto"/>
            <w:noWrap/>
            <w:vAlign w:val="center"/>
            <w:hideMark/>
          </w:tcPr>
          <w:p w:rsidR="000852E4" w:rsidRPr="000852E4" w:rsidRDefault="000852E4" w:rsidP="000852E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996600"/>
                <w:sz w:val="15"/>
                <w:szCs w:val="15"/>
                <w:lang w:eastAsia="pt-BR"/>
              </w:rPr>
              <w:t>Matrícula:</w:t>
            </w:r>
            <w:r w:rsidRPr="000852E4">
              <w:rPr>
                <w:rFonts w:ascii="Verdana" w:eastAsia="Times New Roman" w:hAnsi="Verdana" w:cs="Times New Roman"/>
                <w:color w:val="9966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2584</w:t>
            </w:r>
          </w:p>
        </w:tc>
      </w:tr>
      <w:tr w:rsidR="000852E4" w:rsidRPr="000852E4" w:rsidTr="000852E4">
        <w:trPr>
          <w:trHeight w:val="300"/>
          <w:tblCellSpacing w:w="0" w:type="dxa"/>
          <w:jc w:val="center"/>
        </w:trPr>
        <w:tc>
          <w:tcPr>
            <w:tcW w:w="0" w:type="auto"/>
            <w:noWrap/>
            <w:vAlign w:val="center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996600"/>
                <w:sz w:val="15"/>
                <w:szCs w:val="15"/>
                <w:lang w:eastAsia="pt-BR"/>
              </w:rPr>
              <w:t>Desempenho: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 0,4 de 0,5</w:t>
            </w:r>
          </w:p>
        </w:tc>
        <w:tc>
          <w:tcPr>
            <w:tcW w:w="0" w:type="auto"/>
            <w:noWrap/>
            <w:vAlign w:val="center"/>
            <w:hideMark/>
          </w:tcPr>
          <w:p w:rsidR="000852E4" w:rsidRPr="000852E4" w:rsidRDefault="000852E4" w:rsidP="000852E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996600"/>
                <w:sz w:val="15"/>
                <w:szCs w:val="15"/>
                <w:lang w:eastAsia="pt-BR"/>
              </w:rPr>
              <w:t>Data: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 05/06/2016 22:10:54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  <w:t>(Finalizada)</w:t>
            </w:r>
          </w:p>
        </w:tc>
      </w:tr>
    </w:tbl>
    <w:p w:rsidR="000852E4" w:rsidRPr="000852E4" w:rsidRDefault="000852E4" w:rsidP="0008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750" w:type="dxa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0"/>
      </w:tblGrid>
      <w:tr w:rsidR="000852E4" w:rsidRPr="000852E4" w:rsidTr="000852E4">
        <w:trPr>
          <w:trHeight w:val="30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0852E4" w:rsidRPr="000852E4" w:rsidRDefault="00642C5E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pict>
                <v:rect id="_x0000_i1025" style="width:425.2pt;height:1.5pt" o:hralign="center" o:hrstd="t" o:hr="t" fillcolor="#a0a0a0" stroked="f"/>
              </w:pict>
            </w:r>
          </w:p>
        </w:tc>
      </w:tr>
    </w:tbl>
    <w:p w:rsidR="000852E4" w:rsidRPr="000852E4" w:rsidRDefault="000852E4" w:rsidP="000852E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9750" w:type="dxa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00"/>
        <w:gridCol w:w="2250"/>
      </w:tblGrid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noWrap/>
            <w:vAlign w:val="center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  <w:t> </w:t>
            </w: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84785" cy="155575"/>
                  <wp:effectExtent l="19050" t="0" r="0" b="0"/>
                  <wp:docPr id="97" name="Imagem 97" descr="Código de referência da questã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Código de referência da questã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" cy="155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1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vertAlign w:val="superscript"/>
                <w:lang w:eastAsia="pt-BR"/>
              </w:rPr>
              <w:t>a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 Questão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color w:val="999999"/>
                <w:sz w:val="15"/>
                <w:szCs w:val="15"/>
                <w:lang w:eastAsia="pt-BR"/>
              </w:rPr>
              <w:t>(Ref.: 201301751268)</w:t>
            </w:r>
          </w:p>
        </w:tc>
        <w:tc>
          <w:tcPr>
            <w:tcW w:w="2250" w:type="dxa"/>
            <w:noWrap/>
            <w:vAlign w:val="center"/>
            <w:hideMark/>
          </w:tcPr>
          <w:p w:rsidR="000852E4" w:rsidRPr="000852E4" w:rsidRDefault="000852E4" w:rsidP="000852E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996633"/>
                <w:sz w:val="15"/>
                <w:szCs w:val="15"/>
                <w:lang w:eastAsia="pt-BR"/>
              </w:rPr>
              <w:t>Pontos: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0,0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  <w:t> / 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0,1</w:t>
            </w:r>
          </w:p>
        </w:tc>
      </w:tr>
    </w:tbl>
    <w:p w:rsidR="000852E4" w:rsidRPr="000852E4" w:rsidRDefault="000852E4" w:rsidP="000852E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9750" w:type="dxa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00"/>
        <w:gridCol w:w="9150"/>
      </w:tblGrid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gridSpan w:val="2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Com respeito ao modelo constitucional brasileiro, é correto afirmar: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gridSpan w:val="2"/>
            <w:hideMark/>
          </w:tcPr>
          <w:tbl>
            <w:tblPr>
              <w:tblW w:w="0" w:type="auto"/>
              <w:jc w:val="center"/>
              <w:tblCellSpacing w:w="0" w:type="dxa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56"/>
            </w:tblGrid>
            <w:tr w:rsidR="000852E4" w:rsidRPr="000852E4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0852E4" w:rsidRPr="000852E4" w:rsidRDefault="000852E4" w:rsidP="000852E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  <w:lang w:eastAsia="pt-BR"/>
                    </w:rPr>
                  </w:pPr>
                </w:p>
              </w:tc>
            </w:tr>
          </w:tbl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98" name="Imagem 98" descr="http://simulado.estacio.br/img/Imagens/quadra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://simulado.estacio.br/img/Imagens/quadra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0" w:type="dxa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 xml:space="preserve">A declaração de inconstitucionalidade in </w:t>
            </w:r>
            <w:proofErr w:type="spellStart"/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abstracto</w:t>
            </w:r>
            <w:proofErr w:type="spellEnd"/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 xml:space="preserve"> não possui efeito vinculante para os órgãos do Poder Judiciário.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99" name="Imagem 99" descr="http://simulado.estacio.br/img/Imagens/quadra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http://simulado.estacio.br/img/Imagens/quadra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 xml:space="preserve">A declaração de inconstitucionalidade in </w:t>
            </w:r>
            <w:proofErr w:type="spellStart"/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abstracto</w:t>
            </w:r>
            <w:proofErr w:type="spellEnd"/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 xml:space="preserve"> torna inaplicável a legislação anterior revogada pela norma impugnada.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00" name="Imagem 100" descr="http://simulado.estacio.br/img/Imagens/quadra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://simulado.estacio.br/img/Imagens/quadra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07315" cy="107315"/>
                  <wp:effectExtent l="19050" t="0" r="6985" b="0"/>
                  <wp:docPr id="101" name="Imagem 101" descr="Cer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Cer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 xml:space="preserve">A declaração de inconstitucionalidade in </w:t>
            </w:r>
            <w:proofErr w:type="spellStart"/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abstracto</w:t>
            </w:r>
            <w:proofErr w:type="spellEnd"/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 xml:space="preserve"> de lei, no modelo brasileiro, possui caráter retroativo.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02" name="Imagem 102" descr="http://simulado.estacio.br/img/Imagens/quadra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http://simulado.estacio.br/img/Imagens/quadra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O controle em tese da constitucionalidade de leis opera pela via difusa.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03" name="Imagem 103" descr="http://simulado.estacio.br/img/Imagens/quadrado_x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http://simulado.estacio.br/img/Imagens/quadrado_x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07315" cy="107315"/>
                  <wp:effectExtent l="19050" t="0" r="6985" b="0"/>
                  <wp:docPr id="104" name="Imagem 104" descr="Err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Erra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O Supremo Tribunal Federal não pode apreciar pedido de medida cautelar nas ações diretas de inconstitucionalidade.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45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21"/>
            </w:tblGrid>
            <w:tr w:rsidR="000852E4" w:rsidRPr="000852E4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0852E4" w:rsidRPr="000852E4" w:rsidRDefault="000852E4" w:rsidP="000852E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0852E4" w:rsidRPr="000852E4" w:rsidRDefault="000852E4" w:rsidP="00085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852E4" w:rsidRPr="000852E4" w:rsidTr="000852E4">
        <w:trPr>
          <w:trHeight w:val="375"/>
          <w:tblCellSpacing w:w="0" w:type="dxa"/>
          <w:jc w:val="center"/>
        </w:trPr>
        <w:tc>
          <w:tcPr>
            <w:tcW w:w="0" w:type="auto"/>
            <w:gridSpan w:val="2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</w:tbl>
    <w:p w:rsidR="000852E4" w:rsidRPr="000852E4" w:rsidRDefault="000852E4" w:rsidP="0008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750" w:type="dxa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0"/>
      </w:tblGrid>
      <w:tr w:rsidR="000852E4" w:rsidRPr="000852E4" w:rsidTr="000852E4">
        <w:trPr>
          <w:trHeight w:val="30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0852E4" w:rsidRPr="000852E4" w:rsidRDefault="00642C5E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pict>
                <v:rect id="_x0000_i1026" style="width:425.2pt;height:1.5pt" o:hralign="center" o:hrstd="t" o:hr="t" fillcolor="#a0a0a0" stroked="f"/>
              </w:pict>
            </w:r>
          </w:p>
        </w:tc>
      </w:tr>
    </w:tbl>
    <w:p w:rsidR="000852E4" w:rsidRPr="000852E4" w:rsidRDefault="000852E4" w:rsidP="000852E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9750" w:type="dxa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00"/>
        <w:gridCol w:w="2250"/>
      </w:tblGrid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noWrap/>
            <w:vAlign w:val="center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  <w:t> </w:t>
            </w: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84785" cy="155575"/>
                  <wp:effectExtent l="19050" t="0" r="0" b="0"/>
                  <wp:docPr id="106" name="Imagem 106" descr="Código de referência da questã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Código de referência da questã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" cy="155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2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vertAlign w:val="superscript"/>
                <w:lang w:eastAsia="pt-BR"/>
              </w:rPr>
              <w:t>a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 Questão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color w:val="999999"/>
                <w:sz w:val="15"/>
                <w:szCs w:val="15"/>
                <w:lang w:eastAsia="pt-BR"/>
              </w:rPr>
              <w:t>(Ref.: 201301817595)</w:t>
            </w:r>
          </w:p>
        </w:tc>
        <w:tc>
          <w:tcPr>
            <w:tcW w:w="2250" w:type="dxa"/>
            <w:noWrap/>
            <w:vAlign w:val="center"/>
            <w:hideMark/>
          </w:tcPr>
          <w:p w:rsidR="000852E4" w:rsidRPr="000852E4" w:rsidRDefault="000852E4" w:rsidP="000852E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996633"/>
                <w:sz w:val="15"/>
                <w:szCs w:val="15"/>
                <w:lang w:eastAsia="pt-BR"/>
              </w:rPr>
              <w:t>Pontos: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0,1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  <w:t> / 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0,1</w:t>
            </w:r>
          </w:p>
        </w:tc>
      </w:tr>
    </w:tbl>
    <w:p w:rsidR="000852E4" w:rsidRPr="000852E4" w:rsidRDefault="000852E4" w:rsidP="000852E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9750" w:type="dxa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00"/>
        <w:gridCol w:w="9150"/>
      </w:tblGrid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gridSpan w:val="2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Com relação ao controle de constitucionalidade no direito brasileiro, assinale a opção incorreta.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gridSpan w:val="2"/>
            <w:hideMark/>
          </w:tcPr>
          <w:tbl>
            <w:tblPr>
              <w:tblW w:w="0" w:type="auto"/>
              <w:jc w:val="center"/>
              <w:tblCellSpacing w:w="0" w:type="dxa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56"/>
            </w:tblGrid>
            <w:tr w:rsidR="000852E4" w:rsidRPr="000852E4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0852E4" w:rsidRPr="000852E4" w:rsidRDefault="000852E4" w:rsidP="000852E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  <w:lang w:eastAsia="pt-BR"/>
                    </w:rPr>
                  </w:pPr>
                </w:p>
              </w:tc>
            </w:tr>
          </w:tbl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07" name="Imagem 107" descr="http://simulado.estacio.br/img/Imagens/quadra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http://simulado.estacio.br/img/Imagens/quadra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0" w:type="dxa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Pode ser objeto da ação direta de inconstitucionalidade o decreto legislativo aprovado pelo Congresso Nacional com o escopo de sustar os atos normativos do Poder Executivo que exorbitem do poder regulamentar ou dos limites de delegação legislativa.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08" name="Imagem 108" descr="http://simulado.estacio.br/img/Imagens/quadra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http://simulado.estacio.br/img/Imagens/quadra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A ação declaratória de constitucionalidade só é cabível quando ficar demonstrada a existência de controvérsia judicial relevante sobre a aplicação da disposição objeto da ação.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09" name="Imagem 109" descr="http://simulado.estacio.br/img/Imagens/quadrado_x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http://simulado.estacio.br/img/Imagens/quadrado_x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07315" cy="107315"/>
                  <wp:effectExtent l="19050" t="0" r="6985" b="0"/>
                  <wp:docPr id="110" name="Imagem 110" descr="Cer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Cer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 xml:space="preserve">O governador de um estado ou a </w:t>
            </w:r>
            <w:proofErr w:type="spellStart"/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assembléia</w:t>
            </w:r>
            <w:proofErr w:type="spellEnd"/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 xml:space="preserve"> legislativa que impugna ato normativo de outro estado não tem necessidade de demonstrar a relação de pertinência da pretendida declaração de inconstitucionalidade da lei.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11" name="Imagem 111" descr="http://simulado.estacio.br/img/Imagens/quadra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http://simulado.estacio.br/img/Imagens/quadra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A jurisprudência do STF entende que, nas ações diretas de inconstitucionalidade, o advogado-geral da União não está obrigado a fazer defesa do ato questionado, especialmente se o STF já tiver se manifestado pela inconstitucionalidade.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45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21"/>
            </w:tblGrid>
            <w:tr w:rsidR="000852E4" w:rsidRPr="000852E4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0852E4" w:rsidRPr="000852E4" w:rsidRDefault="000852E4" w:rsidP="000852E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0852E4" w:rsidRPr="000852E4" w:rsidRDefault="000852E4" w:rsidP="00085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852E4" w:rsidRPr="000852E4" w:rsidTr="000852E4">
        <w:trPr>
          <w:trHeight w:val="375"/>
          <w:tblCellSpacing w:w="0" w:type="dxa"/>
          <w:jc w:val="center"/>
        </w:trPr>
        <w:tc>
          <w:tcPr>
            <w:tcW w:w="0" w:type="auto"/>
            <w:gridSpan w:val="2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</w:tbl>
    <w:p w:rsidR="000852E4" w:rsidRPr="000852E4" w:rsidRDefault="000852E4" w:rsidP="0008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750" w:type="dxa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0"/>
      </w:tblGrid>
      <w:tr w:rsidR="000852E4" w:rsidRPr="000852E4" w:rsidTr="000852E4">
        <w:trPr>
          <w:trHeight w:val="30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0852E4" w:rsidRPr="000852E4" w:rsidRDefault="00642C5E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pict>
                <v:rect id="_x0000_i1027" style="width:425.2pt;height:1.5pt" o:hralign="center" o:hrstd="t" o:hr="t" fillcolor="#a0a0a0" stroked="f"/>
              </w:pict>
            </w:r>
          </w:p>
        </w:tc>
      </w:tr>
    </w:tbl>
    <w:p w:rsidR="000852E4" w:rsidRPr="000852E4" w:rsidRDefault="000852E4" w:rsidP="000852E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9750" w:type="dxa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00"/>
        <w:gridCol w:w="2250"/>
      </w:tblGrid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noWrap/>
            <w:vAlign w:val="center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  <w:t> </w:t>
            </w: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84785" cy="155575"/>
                  <wp:effectExtent l="19050" t="0" r="0" b="0"/>
                  <wp:docPr id="113" name="Imagem 113" descr="Código de referência da questã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Código de referência da questã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" cy="155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3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vertAlign w:val="superscript"/>
                <w:lang w:eastAsia="pt-BR"/>
              </w:rPr>
              <w:t>a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 Questão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color w:val="999999"/>
                <w:sz w:val="15"/>
                <w:szCs w:val="15"/>
                <w:lang w:eastAsia="pt-BR"/>
              </w:rPr>
              <w:t>(Ref.: 201302248825)</w:t>
            </w:r>
          </w:p>
        </w:tc>
        <w:tc>
          <w:tcPr>
            <w:tcW w:w="2250" w:type="dxa"/>
            <w:noWrap/>
            <w:vAlign w:val="center"/>
            <w:hideMark/>
          </w:tcPr>
          <w:p w:rsidR="000852E4" w:rsidRPr="000852E4" w:rsidRDefault="000852E4" w:rsidP="000852E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996633"/>
                <w:sz w:val="15"/>
                <w:szCs w:val="15"/>
                <w:lang w:eastAsia="pt-BR"/>
              </w:rPr>
              <w:t>Pontos: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0,1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  <w:t> / 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0,1</w:t>
            </w:r>
          </w:p>
        </w:tc>
      </w:tr>
    </w:tbl>
    <w:p w:rsidR="000852E4" w:rsidRPr="000852E4" w:rsidRDefault="000852E4" w:rsidP="000852E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9750" w:type="dxa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68"/>
        <w:gridCol w:w="8882"/>
      </w:tblGrid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gridSpan w:val="2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XIII EXAME DE ORDEM UNIFICADO A arguição de descumprimento de preceito fundamental (ADPF), regulada pela Lei nº 9.882/99, tem por objeto evitar ou reparar lesão a preceito fundamental, resultante de ato do Poder Público. Com base no legalmente disposto sobre a ADPF, assinale a opção correta.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gridSpan w:val="2"/>
            <w:hideMark/>
          </w:tcPr>
          <w:tbl>
            <w:tblPr>
              <w:tblW w:w="0" w:type="auto"/>
              <w:jc w:val="center"/>
              <w:tblCellSpacing w:w="0" w:type="dxa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56"/>
            </w:tblGrid>
            <w:tr w:rsidR="000852E4" w:rsidRPr="000852E4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0852E4" w:rsidRPr="000852E4" w:rsidRDefault="000852E4" w:rsidP="000852E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  <w:lang w:eastAsia="pt-BR"/>
                    </w:rPr>
                  </w:pPr>
                </w:p>
              </w:tc>
            </w:tr>
          </w:tbl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14" name="Imagem 114" descr="http://simulado.estacio.br/img/Imagens/quadrado_x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http://simulado.estacio.br/img/Imagens/quadrado_x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07315" cy="107315"/>
                  <wp:effectExtent l="19050" t="0" r="6985" b="0"/>
                  <wp:docPr id="115" name="Imagem 115" descr="Cer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Cer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0" w:type="dxa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 xml:space="preserve">De acordo com a Lei nº 9.882/99, vige o </w:t>
            </w:r>
            <w:proofErr w:type="spellStart"/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principio</w:t>
            </w:r>
            <w:proofErr w:type="spellEnd"/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 xml:space="preserve"> da subsidiariedade quanto ao cabimento da ADPF.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16" name="Imagem 116" descr="http://simulado.estacio.br/img/Imagens/quadra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http://simulado.estacio.br/img/Imagens/quadra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 xml:space="preserve">Face à </w:t>
            </w:r>
            <w:proofErr w:type="spellStart"/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extraordinariedade</w:t>
            </w:r>
            <w:proofErr w:type="spellEnd"/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 xml:space="preserve"> da ADPF, a decisão de indeferimento liminar da petição inicial é irrecorrível.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17" name="Imagem 117" descr="http://simulado.estacio.br/img/Imagens/quadra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http://simulado.estacio.br/img/Imagens/quadra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O prefeito de qualquer município pode propor ADPF contra lei local perante o STF.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18" name="Imagem 118" descr="http://simulado.estacio.br/img/Imagens/quadra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http://simulado.estacio.br/img/Imagens/quadra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 xml:space="preserve">A decisão proferida em ADPF produzirá somente efeitos erga omnes e </w:t>
            </w:r>
            <w:proofErr w:type="spellStart"/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ex</w:t>
            </w:r>
            <w:proofErr w:type="spellEnd"/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 xml:space="preserve"> </w:t>
            </w:r>
            <w:proofErr w:type="spellStart"/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tunc</w:t>
            </w:r>
            <w:proofErr w:type="spellEnd"/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45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21"/>
            </w:tblGrid>
            <w:tr w:rsidR="000852E4" w:rsidRPr="000852E4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0852E4" w:rsidRPr="000852E4" w:rsidRDefault="000852E4" w:rsidP="000852E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0852E4" w:rsidRPr="000852E4" w:rsidRDefault="000852E4" w:rsidP="00085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852E4" w:rsidRPr="000852E4" w:rsidTr="000852E4">
        <w:trPr>
          <w:trHeight w:val="375"/>
          <w:tblCellSpacing w:w="0" w:type="dxa"/>
          <w:jc w:val="center"/>
        </w:trPr>
        <w:tc>
          <w:tcPr>
            <w:tcW w:w="0" w:type="auto"/>
            <w:gridSpan w:val="2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</w:tbl>
    <w:p w:rsidR="000852E4" w:rsidRPr="000852E4" w:rsidRDefault="000852E4" w:rsidP="0008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750" w:type="dxa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0"/>
      </w:tblGrid>
      <w:tr w:rsidR="000852E4" w:rsidRPr="000852E4" w:rsidTr="000852E4">
        <w:trPr>
          <w:trHeight w:val="30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0852E4" w:rsidRPr="000852E4" w:rsidRDefault="00642C5E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lastRenderedPageBreak/>
              <w:pict>
                <v:rect id="_x0000_i1028" style="width:425.2pt;height:1.5pt" o:hralign="center" o:hrstd="t" o:hr="t" fillcolor="#a0a0a0" stroked="f"/>
              </w:pict>
            </w:r>
          </w:p>
        </w:tc>
      </w:tr>
    </w:tbl>
    <w:p w:rsidR="000852E4" w:rsidRPr="000852E4" w:rsidRDefault="000852E4" w:rsidP="000852E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9750" w:type="dxa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00"/>
        <w:gridCol w:w="2250"/>
      </w:tblGrid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noWrap/>
            <w:vAlign w:val="center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  <w:t> </w:t>
            </w: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84785" cy="155575"/>
                  <wp:effectExtent l="19050" t="0" r="0" b="0"/>
                  <wp:docPr id="120" name="Imagem 120" descr="Código de referência da questã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Código de referência da questã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" cy="155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4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vertAlign w:val="superscript"/>
                <w:lang w:eastAsia="pt-BR"/>
              </w:rPr>
              <w:t>a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 Questão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color w:val="999999"/>
                <w:sz w:val="15"/>
                <w:szCs w:val="15"/>
                <w:lang w:eastAsia="pt-BR"/>
              </w:rPr>
              <w:t>(Ref.: 201301829983)</w:t>
            </w:r>
          </w:p>
        </w:tc>
        <w:tc>
          <w:tcPr>
            <w:tcW w:w="2250" w:type="dxa"/>
            <w:noWrap/>
            <w:vAlign w:val="center"/>
            <w:hideMark/>
          </w:tcPr>
          <w:p w:rsidR="000852E4" w:rsidRPr="000852E4" w:rsidRDefault="000852E4" w:rsidP="000852E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996633"/>
                <w:sz w:val="15"/>
                <w:szCs w:val="15"/>
                <w:lang w:eastAsia="pt-BR"/>
              </w:rPr>
              <w:t>Pontos: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0,1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  <w:t> / 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0,1</w:t>
            </w:r>
          </w:p>
        </w:tc>
      </w:tr>
    </w:tbl>
    <w:p w:rsidR="000852E4" w:rsidRPr="000852E4" w:rsidRDefault="000852E4" w:rsidP="000852E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9750" w:type="dxa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00"/>
        <w:gridCol w:w="9150"/>
      </w:tblGrid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gridSpan w:val="2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Em relação às características do processo objetivo (controle concentrado), assinale a alternativa: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gridSpan w:val="2"/>
            <w:hideMark/>
          </w:tcPr>
          <w:tbl>
            <w:tblPr>
              <w:tblW w:w="0" w:type="auto"/>
              <w:jc w:val="center"/>
              <w:tblCellSpacing w:w="0" w:type="dxa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56"/>
            </w:tblGrid>
            <w:tr w:rsidR="000852E4" w:rsidRPr="000852E4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0852E4" w:rsidRPr="000852E4" w:rsidRDefault="000852E4" w:rsidP="000852E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  <w:lang w:eastAsia="pt-BR"/>
                    </w:rPr>
                  </w:pPr>
                </w:p>
              </w:tc>
            </w:tr>
          </w:tbl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21" name="Imagem 121" descr="http://simulado.estacio.br/img/Imagens/quadra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http://simulado.estacio.br/img/Imagens/quadra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0" w:type="dxa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Nas ações de controle concentrado de constitucionalidade, admite-se desistência, em atenção ao Princípio da Disponibilidade da Instância.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22" name="Imagem 122" descr="http://simulado.estacio.br/img/Imagens/quadra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http://simulado.estacio.br/img/Imagens/quadra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A Fazenda Pública goza dos privilégios processuais elencados no Código de Processo Civil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23" name="Imagem 123" descr="http://simulado.estacio.br/img/Imagens/quadrado_x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http://simulado.estacio.br/img/Imagens/quadrado_x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07315" cy="107315"/>
                  <wp:effectExtent l="19050" t="0" r="6985" b="0"/>
                  <wp:docPr id="124" name="Imagem 124" descr="Cer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Cer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O Supremo Tribunal Federal pode declarar a inconstitucionalidade de outro artigo que não tenha sido objeto da ação, desde que guarde relação de dependência com o artigo declarado inconstitucional.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25" name="Imagem 125" descr="http://simulado.estacio.br/img/Imagens/quadra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http://simulado.estacio.br/img/Imagens/quadra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Os partidos políticos com representação no Congresso Nacional não necessitam de advogado para a propositura da ação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45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21"/>
            </w:tblGrid>
            <w:tr w:rsidR="000852E4" w:rsidRPr="000852E4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0852E4" w:rsidRPr="000852E4" w:rsidRDefault="000852E4" w:rsidP="000852E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0852E4" w:rsidRPr="000852E4" w:rsidRDefault="000852E4" w:rsidP="00085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852E4" w:rsidRPr="000852E4" w:rsidTr="000852E4">
        <w:trPr>
          <w:trHeight w:val="375"/>
          <w:tblCellSpacing w:w="0" w:type="dxa"/>
          <w:jc w:val="center"/>
        </w:trPr>
        <w:tc>
          <w:tcPr>
            <w:tcW w:w="0" w:type="auto"/>
            <w:gridSpan w:val="2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</w:tbl>
    <w:p w:rsidR="000852E4" w:rsidRPr="000852E4" w:rsidRDefault="000852E4" w:rsidP="000852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750" w:type="dxa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0"/>
      </w:tblGrid>
      <w:tr w:rsidR="000852E4" w:rsidRPr="000852E4" w:rsidTr="000852E4">
        <w:trPr>
          <w:trHeight w:val="30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0852E4" w:rsidRPr="000852E4" w:rsidRDefault="00642C5E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pict>
                <v:rect id="_x0000_i1029" style="width:425.2pt;height:1.5pt" o:hralign="center" o:hrstd="t" o:hr="t" fillcolor="#a0a0a0" stroked="f"/>
              </w:pict>
            </w:r>
          </w:p>
        </w:tc>
      </w:tr>
    </w:tbl>
    <w:p w:rsidR="000852E4" w:rsidRPr="000852E4" w:rsidRDefault="000852E4" w:rsidP="000852E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9750" w:type="dxa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00"/>
        <w:gridCol w:w="2250"/>
      </w:tblGrid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noWrap/>
            <w:vAlign w:val="center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  <w:t> </w:t>
            </w: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84785" cy="155575"/>
                  <wp:effectExtent l="19050" t="0" r="0" b="0"/>
                  <wp:docPr id="127" name="Imagem 127" descr="Código de referência da questã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Código de referência da questã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" cy="155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5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vertAlign w:val="superscript"/>
                <w:lang w:eastAsia="pt-BR"/>
              </w:rPr>
              <w:t>a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 Questão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color w:val="999999"/>
                <w:sz w:val="15"/>
                <w:szCs w:val="15"/>
                <w:lang w:eastAsia="pt-BR"/>
              </w:rPr>
              <w:t>(Ref.: 201302265472)</w:t>
            </w:r>
          </w:p>
        </w:tc>
        <w:tc>
          <w:tcPr>
            <w:tcW w:w="2250" w:type="dxa"/>
            <w:noWrap/>
            <w:vAlign w:val="center"/>
            <w:hideMark/>
          </w:tcPr>
          <w:p w:rsidR="000852E4" w:rsidRPr="000852E4" w:rsidRDefault="000852E4" w:rsidP="000852E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996633"/>
                <w:sz w:val="15"/>
                <w:szCs w:val="15"/>
                <w:lang w:eastAsia="pt-BR"/>
              </w:rPr>
              <w:t>Pontos: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0,1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  <w:t> / </w:t>
            </w:r>
            <w:r w:rsidRPr="000852E4">
              <w:rPr>
                <w:rFonts w:ascii="Verdana" w:eastAsia="Times New Roman" w:hAnsi="Verdana" w:cs="Times New Roman"/>
                <w:b/>
                <w:bCs/>
                <w:color w:val="000000"/>
                <w:sz w:val="15"/>
                <w:lang w:eastAsia="pt-BR"/>
              </w:rPr>
              <w:t>0,1</w:t>
            </w:r>
          </w:p>
        </w:tc>
      </w:tr>
    </w:tbl>
    <w:p w:rsidR="000852E4" w:rsidRPr="000852E4" w:rsidRDefault="000852E4" w:rsidP="000852E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9750" w:type="dxa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80"/>
        <w:gridCol w:w="7170"/>
      </w:tblGrid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gridSpan w:val="2"/>
            <w:shd w:val="clear" w:color="auto" w:fill="FFFFFF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(OAB/107.º) Quando da promulgação de uma nova Constituição, diz-se que a legislação ordinária compatível perde o suporte de validade da Constituição antiga, mas continua válida pela teoria: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gridSpan w:val="2"/>
            <w:shd w:val="clear" w:color="auto" w:fill="FFFFFF"/>
            <w:hideMark/>
          </w:tcPr>
          <w:tbl>
            <w:tblPr>
              <w:tblW w:w="0" w:type="auto"/>
              <w:jc w:val="center"/>
              <w:tblCellSpacing w:w="0" w:type="dxa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56"/>
            </w:tblGrid>
            <w:tr w:rsidR="000852E4" w:rsidRPr="000852E4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0852E4" w:rsidRPr="000852E4" w:rsidRDefault="000852E4" w:rsidP="000852E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  <w:lang w:eastAsia="pt-BR"/>
                    </w:rPr>
                  </w:pPr>
                </w:p>
              </w:tc>
            </w:tr>
          </w:tbl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shd w:val="clear" w:color="auto" w:fill="FFFFFF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28" name="Imagem 128" descr="http://simulado.estacio.br/img/Imagens/quadra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http://simulado.estacio.br/img/Imagens/quadra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d) do poder constituinte subordinado.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shd w:val="clear" w:color="auto" w:fill="FFFFFF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29" name="Imagem 129" descr="http://simulado.estacio.br/img/Imagens/quadra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http://simulado.estacio.br/img/Imagens/quadra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b) da desconstitucionalização;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shd w:val="clear" w:color="auto" w:fill="FFFFFF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30" name="Imagem 130" descr="http://simulado.estacio.br/img/Imagens/quadrad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http://simulado.estacio.br/img/Imagens/quadrad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a) da repristinação;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600" w:type="dxa"/>
            <w:shd w:val="clear" w:color="auto" w:fill="FFFFFF"/>
            <w:noWrap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  <w:lang w:eastAsia="pt-BR"/>
              </w:rPr>
            </w:pP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16840" cy="116840"/>
                  <wp:effectExtent l="19050" t="0" r="0" b="0"/>
                  <wp:docPr id="131" name="Imagem 131" descr="http://simulado.estacio.br/img/Imagens/quadrado_x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http://simulado.estacio.br/img/Imagens/quadrado_x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" cy="11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52E4">
              <w:rPr>
                <w:rFonts w:ascii="Verdana" w:eastAsia="Times New Roman" w:hAnsi="Verdana" w:cs="Times New Roman"/>
                <w:color w:val="000000"/>
                <w:sz w:val="15"/>
                <w:lang w:eastAsia="pt-BR"/>
              </w:rPr>
              <w:t> </w:t>
            </w:r>
            <w:r>
              <w:rPr>
                <w:rFonts w:ascii="Verdana" w:eastAsia="Times New Roman" w:hAnsi="Verdana" w:cs="Times New Roman"/>
                <w:noProof/>
                <w:color w:val="000000"/>
                <w:sz w:val="15"/>
                <w:szCs w:val="15"/>
                <w:lang w:eastAsia="pt-BR"/>
              </w:rPr>
              <w:drawing>
                <wp:inline distT="0" distB="0" distL="0" distR="0">
                  <wp:extent cx="107315" cy="107315"/>
                  <wp:effectExtent l="19050" t="0" r="6985" b="0"/>
                  <wp:docPr id="132" name="Imagem 132" descr="Cer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Cer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hideMark/>
          </w:tcPr>
          <w:p w:rsidR="000852E4" w:rsidRPr="000852E4" w:rsidRDefault="000852E4" w:rsidP="000852E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</w:pPr>
            <w:r w:rsidRPr="000852E4">
              <w:rPr>
                <w:rFonts w:ascii="Verdana" w:eastAsia="Times New Roman" w:hAnsi="Verdana" w:cs="Times New Roman"/>
                <w:color w:val="000000"/>
                <w:sz w:val="17"/>
                <w:szCs w:val="17"/>
                <w:lang w:eastAsia="pt-BR"/>
              </w:rPr>
              <w:t>c) da recepção;</w:t>
            </w:r>
          </w:p>
        </w:tc>
      </w:tr>
      <w:tr w:rsidR="000852E4" w:rsidRPr="000852E4" w:rsidTr="000852E4">
        <w:trPr>
          <w:tblCellSpacing w:w="0" w:type="dxa"/>
          <w:jc w:val="center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45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21"/>
            </w:tblGrid>
            <w:tr w:rsidR="000852E4" w:rsidRPr="000852E4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0852E4" w:rsidRPr="000852E4" w:rsidRDefault="000852E4" w:rsidP="000852E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0852E4" w:rsidRPr="000852E4" w:rsidRDefault="000852E4" w:rsidP="000852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pt-BR"/>
              </w:rPr>
            </w:pPr>
          </w:p>
        </w:tc>
      </w:tr>
    </w:tbl>
    <w:p w:rsidR="002178D6" w:rsidRPr="002D017C" w:rsidRDefault="002178D6" w:rsidP="002D017C"/>
    <w:sectPr w:rsidR="002178D6" w:rsidRPr="002D017C" w:rsidSect="004A2ED9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98C"/>
    <w:rsid w:val="000852E4"/>
    <w:rsid w:val="0011498C"/>
    <w:rsid w:val="002178D6"/>
    <w:rsid w:val="002D017C"/>
    <w:rsid w:val="00316D44"/>
    <w:rsid w:val="004A2ED9"/>
    <w:rsid w:val="00642C5E"/>
    <w:rsid w:val="00672745"/>
    <w:rsid w:val="008E234D"/>
    <w:rsid w:val="0099406C"/>
    <w:rsid w:val="00FE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E9BC89-2BDF-4338-860D-1AB1115C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21B0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E21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E21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E21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E21B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Fontepargpadro"/>
    <w:rsid w:val="0011498C"/>
  </w:style>
  <w:style w:type="character" w:styleId="Forte">
    <w:name w:val="Strong"/>
    <w:basedOn w:val="Fontepargpadro"/>
    <w:uiPriority w:val="22"/>
    <w:qFormat/>
    <w:rsid w:val="0011498C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149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49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4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theme" Target="theme/theme1.xml"/><Relationship Id="rId5" Type="http://schemas.openxmlformats.org/officeDocument/2006/relationships/image" Target="media/image2.gif"/><Relationship Id="rId10" Type="http://schemas.openxmlformats.org/officeDocument/2006/relationships/fontTable" Target="fontTable.xml"/><Relationship Id="rId4" Type="http://schemas.openxmlformats.org/officeDocument/2006/relationships/image" Target="media/image1.gif"/><Relationship Id="rId9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Andressa Zambotto</dc:creator>
  <cp:lastModifiedBy>User</cp:lastModifiedBy>
  <cp:revision>2</cp:revision>
  <dcterms:created xsi:type="dcterms:W3CDTF">2017-08-26T12:10:00Z</dcterms:created>
  <dcterms:modified xsi:type="dcterms:W3CDTF">2017-08-26T12:10:00Z</dcterms:modified>
</cp:coreProperties>
</file>