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1AF0" w:rsidRDefault="00FD1AF0" w:rsidP="00FD1AF0">
      <w:pPr>
        <w:pStyle w:val="SemEspaamento"/>
        <w:jc w:val="center"/>
        <w:rPr>
          <w:rFonts w:ascii="Arial" w:hAnsi="Arial" w:cs="Arial"/>
          <w:b/>
          <w:sz w:val="24"/>
          <w:szCs w:val="24"/>
          <w:lang w:eastAsia="pt-BR"/>
        </w:rPr>
      </w:pPr>
      <w:bookmarkStart w:id="0" w:name="_GoBack"/>
      <w:r w:rsidRPr="00FD1AF0">
        <w:rPr>
          <w:rFonts w:ascii="Arial" w:hAnsi="Arial" w:cs="Arial"/>
          <w:b/>
          <w:sz w:val="24"/>
          <w:szCs w:val="24"/>
          <w:lang w:eastAsia="pt-BR"/>
        </w:rPr>
        <w:t>LIVRO CAIXA E DEDUÇÕES DO IRPF PERMITIDAS PELO FISCO</w:t>
      </w:r>
    </w:p>
    <w:bookmarkEnd w:id="0"/>
    <w:p w:rsidR="00FD1AF0" w:rsidRPr="00FD1AF0" w:rsidRDefault="00FD1AF0" w:rsidP="00FD1AF0">
      <w:pPr>
        <w:pStyle w:val="SemEspaamento"/>
        <w:jc w:val="center"/>
        <w:rPr>
          <w:rFonts w:ascii="Arial" w:hAnsi="Arial" w:cs="Arial"/>
          <w:b/>
          <w:sz w:val="24"/>
          <w:szCs w:val="24"/>
          <w:lang w:eastAsia="pt-BR"/>
        </w:rPr>
      </w:pP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Recentemente vimos alguns autos de infração relativos ao IRPF lavrados contra pessoas físicas sujeitas ao carnê-leão, inclusive os proprietários de cartórios.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FD1AF0" w:rsidRPr="00FD1AF0" w:rsidRDefault="00FD1AF0" w:rsidP="00FD1AF0">
      <w:pPr>
        <w:pStyle w:val="SemEspaamento"/>
        <w:ind w:firstLine="1134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z w:val="24"/>
          <w:szCs w:val="24"/>
          <w:lang w:eastAsia="pt-BR"/>
        </w:rPr>
        <w:t> </w:t>
      </w: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Recentemente vimos alguns autos de infração relativos ao </w:t>
      </w:r>
      <w:hyperlink r:id="rId6" w:history="1">
        <w:r w:rsidRPr="00FD1AF0">
          <w:rPr>
            <w:rFonts w:ascii="Arial" w:hAnsi="Arial" w:cs="Arial"/>
            <w:b/>
            <w:bCs/>
            <w:spacing w:val="2"/>
            <w:sz w:val="24"/>
            <w:szCs w:val="24"/>
            <w:u w:val="single"/>
            <w:lang w:eastAsia="pt-BR"/>
          </w:rPr>
          <w:t>IRPF</w:t>
        </w:r>
      </w:hyperlink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 lavrados contra pessoas físicas sujeitas ao carnê-leão, inclusive os proprietários de cartórios.</w:t>
      </w:r>
    </w:p>
    <w:p w:rsidR="00FD1AF0" w:rsidRPr="00FD1AF0" w:rsidRDefault="00FD1AF0" w:rsidP="00FD1AF0">
      <w:pPr>
        <w:pStyle w:val="SemEspaamento"/>
        <w:ind w:firstLine="1134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Impressiona o tipo de glosa pelo fisco sobre despesas essenciais às atividades profissionais dos contribuintes autuados, tais como internet, manutenção de computadores, vale refeição de empregados, </w:t>
      </w:r>
      <w:hyperlink r:id="rId7" w:history="1">
        <w:r w:rsidRPr="00FD1AF0">
          <w:rPr>
            <w:rFonts w:ascii="Arial" w:hAnsi="Arial" w:cs="Arial"/>
            <w:b/>
            <w:bCs/>
            <w:spacing w:val="2"/>
            <w:sz w:val="24"/>
            <w:szCs w:val="24"/>
            <w:u w:val="single"/>
            <w:lang w:eastAsia="pt-BR"/>
          </w:rPr>
          <w:t>honorários</w:t>
        </w:r>
      </w:hyperlink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 advocatícios em causas trabalhistas e outras que, segundo o fisco, não seriam necessárias às atividades, portanto, glosadas e sujeitas à tributação.</w:t>
      </w:r>
    </w:p>
    <w:p w:rsidR="00FD1AF0" w:rsidRPr="00FD1AF0" w:rsidRDefault="00FD1AF0" w:rsidP="00FD1AF0">
      <w:pPr>
        <w:pStyle w:val="SemEspaamento"/>
        <w:ind w:firstLine="1134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Vamos discorrer sobre algumas despesas inerentes às atividades dos contribuintes e que devem e deveria ser considerado com dedutíveis, segundo embasamento legal que citaremos ao final de cada tópico.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b/>
          <w:bCs/>
          <w:spacing w:val="2"/>
          <w:sz w:val="24"/>
          <w:szCs w:val="24"/>
          <w:lang w:eastAsia="pt-BR"/>
        </w:rPr>
      </w:pP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b/>
          <w:bCs/>
          <w:spacing w:val="2"/>
          <w:sz w:val="24"/>
          <w:szCs w:val="24"/>
          <w:lang w:eastAsia="pt-BR"/>
        </w:rPr>
      </w:pP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b/>
          <w:bCs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b/>
          <w:bCs/>
          <w:spacing w:val="2"/>
          <w:sz w:val="24"/>
          <w:szCs w:val="24"/>
          <w:lang w:eastAsia="pt-BR"/>
        </w:rPr>
        <w:t>DESESPESAS DEDUTÍVES NO CARNÊ-LEÃO VIA LIVRO CAIXA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1 - </w:t>
      </w:r>
      <w:r w:rsidRPr="00FD1AF0">
        <w:rPr>
          <w:rFonts w:ascii="Arial" w:hAnsi="Arial" w:cs="Arial"/>
          <w:b/>
          <w:bCs/>
          <w:spacing w:val="2"/>
          <w:sz w:val="24"/>
          <w:szCs w:val="24"/>
          <w:lang w:eastAsia="pt-BR"/>
        </w:rPr>
        <w:t>Pagamento Efetuado a Terceiros sem Vinculo Empregatício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</w:p>
    <w:p w:rsidR="00FD1AF0" w:rsidRPr="00FD1AF0" w:rsidRDefault="00FD1AF0" w:rsidP="00FD1AF0">
      <w:pPr>
        <w:pStyle w:val="SemEspaamento"/>
        <w:ind w:firstLine="1134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Típica despesa que poderá ser deduzida, ou seja, os pagamentos efetuados a terceiros sem vinculo empregatício, desde que caracterize despesa necessária à percepção da receita e à manutenção da fonte produtora.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Os pagamentos efetuados pelo profissional autônomo a terceiros são dedutíveis no mês de sua quitação, ainda que respondentes a serviços prestados em mês ou meses anteriores do mesmo ano, ou em anos anteriores.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Base legal: Decreto 3.000/99 – RIR/99, artigo 75.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2 - </w:t>
      </w:r>
      <w:r w:rsidRPr="00FD1AF0">
        <w:rPr>
          <w:rFonts w:ascii="Arial" w:hAnsi="Arial" w:cs="Arial"/>
          <w:b/>
          <w:bCs/>
          <w:spacing w:val="2"/>
          <w:sz w:val="24"/>
          <w:szCs w:val="24"/>
          <w:lang w:eastAsia="pt-BR"/>
        </w:rPr>
        <w:t>Despesas com livros técnicos e roupas especiais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</w:p>
    <w:p w:rsidR="00FD1AF0" w:rsidRPr="00FD1AF0" w:rsidRDefault="00FD1AF0" w:rsidP="00FD1AF0">
      <w:pPr>
        <w:pStyle w:val="SemEspaamento"/>
        <w:ind w:firstLine="1134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É comum o profissional autônomo que exercer funções e atribuições que o obriguem a comprar roupas especiais (fisioterapeuta, médico, enfermeiro) e livros técnicos (contabilistas, advogados, profissionais da área da saúde) necessários ao desempenho de suas atividades poderá deduzir as respectivas despesas, desde que estejam escrituradas no </w:t>
      </w:r>
      <w:hyperlink r:id="rId8" w:history="1">
        <w:r w:rsidRPr="00FD1AF0">
          <w:rPr>
            <w:rFonts w:ascii="Arial" w:hAnsi="Arial" w:cs="Arial"/>
            <w:b/>
            <w:bCs/>
            <w:spacing w:val="2"/>
            <w:sz w:val="24"/>
            <w:szCs w:val="24"/>
            <w:u w:val="single"/>
            <w:lang w:eastAsia="pt-BR"/>
          </w:rPr>
          <w:t xml:space="preserve">livro </w:t>
        </w:r>
        <w:proofErr w:type="gramStart"/>
        <w:r w:rsidRPr="00FD1AF0">
          <w:rPr>
            <w:rFonts w:ascii="Arial" w:hAnsi="Arial" w:cs="Arial"/>
            <w:b/>
            <w:bCs/>
            <w:spacing w:val="2"/>
            <w:sz w:val="24"/>
            <w:szCs w:val="24"/>
            <w:u w:val="single"/>
            <w:lang w:eastAsia="pt-BR"/>
          </w:rPr>
          <w:t>Caixa.</w:t>
        </w:r>
        <w:proofErr w:type="gramEnd"/>
      </w:hyperlink>
      <w:r>
        <w:rPr>
          <w:rFonts w:ascii="Arial" w:hAnsi="Arial" w:cs="Arial"/>
          <w:spacing w:val="2"/>
          <w:sz w:val="24"/>
          <w:szCs w:val="24"/>
          <w:lang w:eastAsia="pt-BR"/>
        </w:rPr>
        <w:t xml:space="preserve"> </w:t>
      </w: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Base legal: Instrução Normativa RFB 15/2001.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3 - </w:t>
      </w:r>
      <w:r w:rsidRPr="00FD1AF0">
        <w:rPr>
          <w:rFonts w:ascii="Arial" w:hAnsi="Arial" w:cs="Arial"/>
          <w:b/>
          <w:bCs/>
          <w:spacing w:val="2"/>
          <w:sz w:val="24"/>
          <w:szCs w:val="24"/>
          <w:lang w:eastAsia="pt-BR"/>
        </w:rPr>
        <w:t>Honorários pagos a contabilista</w:t>
      </w:r>
    </w:p>
    <w:p w:rsidR="00FD1AF0" w:rsidRPr="00FD1AF0" w:rsidRDefault="00FD1AF0" w:rsidP="00FD1AF0">
      <w:pPr>
        <w:pStyle w:val="SemEspaamento"/>
        <w:ind w:firstLine="1134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Os serviços contábeis são indispensáveis aos contribuintes do carnê-leão, tanto para escrituração do </w:t>
      </w:r>
      <w:hyperlink r:id="rId9" w:history="1">
        <w:r w:rsidRPr="00FD1AF0">
          <w:rPr>
            <w:rFonts w:ascii="Arial" w:hAnsi="Arial" w:cs="Arial"/>
            <w:b/>
            <w:bCs/>
            <w:spacing w:val="2"/>
            <w:sz w:val="24"/>
            <w:szCs w:val="24"/>
            <w:u w:val="single"/>
            <w:lang w:eastAsia="pt-BR"/>
          </w:rPr>
          <w:t xml:space="preserve">livro </w:t>
        </w:r>
        <w:proofErr w:type="gramStart"/>
        <w:r w:rsidRPr="00FD1AF0">
          <w:rPr>
            <w:rFonts w:ascii="Arial" w:hAnsi="Arial" w:cs="Arial"/>
            <w:b/>
            <w:bCs/>
            <w:spacing w:val="2"/>
            <w:sz w:val="24"/>
            <w:szCs w:val="24"/>
            <w:u w:val="single"/>
            <w:lang w:eastAsia="pt-BR"/>
          </w:rPr>
          <w:t>caixa,</w:t>
        </w:r>
        <w:proofErr w:type="gramEnd"/>
      </w:hyperlink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 como na preparação da Declaração de Ajustes do </w:t>
      </w:r>
      <w:hyperlink r:id="rId10" w:history="1">
        <w:r w:rsidRPr="00FD1AF0">
          <w:rPr>
            <w:rFonts w:ascii="Arial" w:hAnsi="Arial" w:cs="Arial"/>
            <w:b/>
            <w:bCs/>
            <w:spacing w:val="2"/>
            <w:sz w:val="24"/>
            <w:szCs w:val="24"/>
            <w:u w:val="single"/>
            <w:lang w:eastAsia="pt-BR"/>
          </w:rPr>
          <w:t>IRPF.</w:t>
        </w:r>
      </w:hyperlink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 É admitida a dedução dos </w:t>
      </w:r>
      <w:hyperlink r:id="rId11" w:history="1">
        <w:r w:rsidRPr="00FD1AF0">
          <w:rPr>
            <w:rFonts w:ascii="Arial" w:hAnsi="Arial" w:cs="Arial"/>
            <w:b/>
            <w:bCs/>
            <w:spacing w:val="2"/>
            <w:sz w:val="24"/>
            <w:szCs w:val="24"/>
            <w:u w:val="single"/>
            <w:lang w:eastAsia="pt-BR"/>
          </w:rPr>
          <w:t>honorários</w:t>
        </w:r>
      </w:hyperlink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 efetivamente pagos pelo profissional autônomo ao contabilista legalmente habilitado, tanto pela escrituração do </w:t>
      </w:r>
      <w:hyperlink r:id="rId12" w:history="1">
        <w:r w:rsidRPr="00FD1AF0">
          <w:rPr>
            <w:rFonts w:ascii="Arial" w:hAnsi="Arial" w:cs="Arial"/>
            <w:b/>
            <w:bCs/>
            <w:spacing w:val="2"/>
            <w:sz w:val="24"/>
            <w:szCs w:val="24"/>
            <w:u w:val="single"/>
            <w:lang w:eastAsia="pt-BR"/>
          </w:rPr>
          <w:t>livro Caixa</w:t>
        </w:r>
      </w:hyperlink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 como pela elaboração da DIPF.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lastRenderedPageBreak/>
        <w:t>Base Legal: Instrução Normativa RFB 15/2001.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4 – </w:t>
      </w:r>
      <w:r w:rsidRPr="00FD1AF0">
        <w:rPr>
          <w:rFonts w:ascii="Arial" w:hAnsi="Arial" w:cs="Arial"/>
          <w:b/>
          <w:bCs/>
          <w:spacing w:val="2"/>
          <w:sz w:val="24"/>
          <w:szCs w:val="24"/>
          <w:lang w:eastAsia="pt-BR"/>
        </w:rPr>
        <w:t>Um quinto, ou 20%, das despesas com aluguel, energia, água, gás, taxas, impostos, telefone, telefone celular, condomínio, quando o imóvel utilizado para a atividade profissional é também residência.</w:t>
      </w: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 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</w:p>
    <w:p w:rsidR="00FD1AF0" w:rsidRPr="00FD1AF0" w:rsidRDefault="00FD1AF0" w:rsidP="00FD1AF0">
      <w:pPr>
        <w:pStyle w:val="SemEspaamento"/>
        <w:ind w:firstLine="1134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É comum médico ter consultório em sua própria residência. Com o moderno home servisse, outros profissionais liberais também optam pelo escritório em casa, tais como arquitetos, contabilistas, etc..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Base Legal: Parecer Normativo </w:t>
      </w:r>
      <w:hyperlink r:id="rId13" w:history="1">
        <w:r w:rsidRPr="00FD1AF0">
          <w:rPr>
            <w:rFonts w:ascii="Arial" w:hAnsi="Arial" w:cs="Arial"/>
            <w:b/>
            <w:bCs/>
            <w:spacing w:val="2"/>
            <w:sz w:val="24"/>
            <w:szCs w:val="24"/>
            <w:u w:val="single"/>
            <w:lang w:eastAsia="pt-BR"/>
          </w:rPr>
          <w:t>CST</w:t>
        </w:r>
      </w:hyperlink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 de nº 60, de 1978.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5 - </w:t>
      </w:r>
      <w:r w:rsidRPr="00FD1AF0">
        <w:rPr>
          <w:rFonts w:ascii="Arial" w:hAnsi="Arial" w:cs="Arial"/>
          <w:b/>
          <w:bCs/>
          <w:spacing w:val="2"/>
          <w:sz w:val="24"/>
          <w:szCs w:val="24"/>
          <w:lang w:eastAsia="pt-BR"/>
        </w:rPr>
        <w:t>Despesas com encontros científicos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</w:p>
    <w:p w:rsidR="00FD1AF0" w:rsidRPr="00FD1AF0" w:rsidRDefault="00FD1AF0" w:rsidP="00FD1AF0">
      <w:pPr>
        <w:pStyle w:val="SemEspaamento"/>
        <w:ind w:firstLine="1134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As habilitações técnicas de nível superior não terminam nas universidades, sendo necessário constantemente que os profissionais liberais se mantenham atualizados. Assim, as despesas efetuadas para comparecimento a encontros científicos como congressos, seminários, simpósios, se necessárias ao desempenho da função desenvolvida pelo contribuinte, observada, ainda a sua especialização profissional, podem ser deduzidas do rendimento bruto desde que esses gastos estejam escriturados em </w:t>
      </w:r>
      <w:hyperlink r:id="rId14" w:history="1">
        <w:r w:rsidRPr="00FD1AF0">
          <w:rPr>
            <w:rFonts w:ascii="Arial" w:hAnsi="Arial" w:cs="Arial"/>
            <w:b/>
            <w:bCs/>
            <w:spacing w:val="2"/>
            <w:sz w:val="24"/>
            <w:szCs w:val="24"/>
            <w:u w:val="single"/>
            <w:lang w:eastAsia="pt-BR"/>
          </w:rPr>
          <w:t xml:space="preserve">livro </w:t>
        </w:r>
        <w:proofErr w:type="gramStart"/>
        <w:r w:rsidRPr="00FD1AF0">
          <w:rPr>
            <w:rFonts w:ascii="Arial" w:hAnsi="Arial" w:cs="Arial"/>
            <w:b/>
            <w:bCs/>
            <w:spacing w:val="2"/>
            <w:sz w:val="24"/>
            <w:szCs w:val="24"/>
            <w:u w:val="single"/>
            <w:lang w:eastAsia="pt-BR"/>
          </w:rPr>
          <w:t>Caixa,</w:t>
        </w:r>
        <w:proofErr w:type="gramEnd"/>
      </w:hyperlink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 comprovados por documentação hábil e idônea e não sejam reembolsados ou ressarcidos.</w:t>
      </w:r>
    </w:p>
    <w:p w:rsidR="00FD1AF0" w:rsidRPr="00FD1AF0" w:rsidRDefault="00FD1AF0" w:rsidP="00FD1AF0">
      <w:pPr>
        <w:pStyle w:val="SemEspaamento"/>
        <w:ind w:firstLine="1134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Todavia, somente são admitidos os gastos diretamente vinculados aos estudos e trabalho, tais como: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a) taxa de inscrição e comparecimento a encontros científicos;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b) aquisição de impressos e livros;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c) materiais de estudo e trabalho;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d) hospedagem, transporte;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No caso da letra “a” o contribuinte deverá guardar o certificado de comparecimento dado pelos organizadores desses encontros pelo prazo decadencial ou prescricional.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Base Legal: Instrução Normativa SRF n. 15/2001.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b/>
          <w:bCs/>
          <w:spacing w:val="2"/>
          <w:sz w:val="24"/>
          <w:szCs w:val="24"/>
          <w:lang w:eastAsia="pt-BR"/>
        </w:rPr>
      </w:pP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b/>
          <w:bCs/>
          <w:spacing w:val="2"/>
          <w:sz w:val="24"/>
          <w:szCs w:val="24"/>
          <w:lang w:eastAsia="pt-BR"/>
        </w:rPr>
        <w:t>6 – Despesas com advogados.</w:t>
      </w:r>
    </w:p>
    <w:p w:rsidR="00FD1AF0" w:rsidRPr="00FD1AF0" w:rsidRDefault="00FD1AF0" w:rsidP="00FD1AF0">
      <w:pPr>
        <w:pStyle w:val="SemEspaamento"/>
        <w:ind w:firstLine="1134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 xml:space="preserve">São comuns as despesas com advogados em defesas nas causas trabalhistas movidas por </w:t>
      </w:r>
      <w:proofErr w:type="spellStart"/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ex</w:t>
      </w:r>
      <w:proofErr w:type="spellEnd"/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- empregados.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Jurisprudência Administrativa: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 </w:t>
      </w:r>
      <w:r w:rsidRPr="00FD1AF0">
        <w:rPr>
          <w:rFonts w:ascii="Arial" w:hAnsi="Arial" w:cs="Arial"/>
          <w:i/>
          <w:iCs/>
          <w:spacing w:val="2"/>
          <w:sz w:val="24"/>
          <w:szCs w:val="24"/>
          <w:lang w:eastAsia="pt-BR"/>
        </w:rPr>
        <w:t>ACÓRDÃO 102-47.227 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i/>
          <w:iCs/>
          <w:spacing w:val="2"/>
          <w:sz w:val="24"/>
          <w:szCs w:val="24"/>
          <w:lang w:eastAsia="pt-BR"/>
        </w:rPr>
        <w:t xml:space="preserve">Órgão: 1º Conselho de Contribuintes / </w:t>
      </w:r>
      <w:proofErr w:type="gramStart"/>
      <w:r w:rsidRPr="00FD1AF0">
        <w:rPr>
          <w:rFonts w:ascii="Arial" w:hAnsi="Arial" w:cs="Arial"/>
          <w:i/>
          <w:iCs/>
          <w:spacing w:val="2"/>
          <w:sz w:val="24"/>
          <w:szCs w:val="24"/>
          <w:lang w:eastAsia="pt-BR"/>
        </w:rPr>
        <w:t>2a.</w:t>
      </w:r>
      <w:proofErr w:type="gramEnd"/>
      <w:r w:rsidRPr="00FD1AF0">
        <w:rPr>
          <w:rFonts w:ascii="Arial" w:hAnsi="Arial" w:cs="Arial"/>
          <w:i/>
          <w:iCs/>
          <w:spacing w:val="2"/>
          <w:sz w:val="24"/>
          <w:szCs w:val="24"/>
          <w:lang w:eastAsia="pt-BR"/>
        </w:rPr>
        <w:t xml:space="preserve"> Câmara 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i/>
          <w:iCs/>
          <w:spacing w:val="2"/>
          <w:sz w:val="24"/>
          <w:szCs w:val="24"/>
          <w:lang w:eastAsia="pt-BR"/>
        </w:rPr>
        <w:t xml:space="preserve">1º Conselho de Contribuintes / </w:t>
      </w:r>
      <w:proofErr w:type="gramStart"/>
      <w:r w:rsidRPr="00FD1AF0">
        <w:rPr>
          <w:rFonts w:ascii="Arial" w:hAnsi="Arial" w:cs="Arial"/>
          <w:i/>
          <w:iCs/>
          <w:spacing w:val="2"/>
          <w:sz w:val="24"/>
          <w:szCs w:val="24"/>
          <w:lang w:eastAsia="pt-BR"/>
        </w:rPr>
        <w:t>2a.</w:t>
      </w:r>
      <w:proofErr w:type="gramEnd"/>
      <w:r w:rsidRPr="00FD1AF0">
        <w:rPr>
          <w:rFonts w:ascii="Arial" w:hAnsi="Arial" w:cs="Arial"/>
          <w:i/>
          <w:iCs/>
          <w:spacing w:val="2"/>
          <w:sz w:val="24"/>
          <w:szCs w:val="24"/>
          <w:lang w:eastAsia="pt-BR"/>
        </w:rPr>
        <w:t xml:space="preserve"> Câmara / ACÓRDÃO 102-47.227 em 11.11.2005 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i/>
          <w:iCs/>
          <w:spacing w:val="2"/>
          <w:sz w:val="24"/>
          <w:szCs w:val="24"/>
          <w:lang w:eastAsia="pt-BR"/>
        </w:rPr>
        <w:t xml:space="preserve">IRPF - </w:t>
      </w:r>
      <w:proofErr w:type="spellStart"/>
      <w:r w:rsidRPr="00FD1AF0">
        <w:rPr>
          <w:rFonts w:ascii="Arial" w:hAnsi="Arial" w:cs="Arial"/>
          <w:i/>
          <w:iCs/>
          <w:spacing w:val="2"/>
          <w:sz w:val="24"/>
          <w:szCs w:val="24"/>
          <w:lang w:eastAsia="pt-BR"/>
        </w:rPr>
        <w:t>Ex</w:t>
      </w:r>
      <w:proofErr w:type="spellEnd"/>
      <w:r w:rsidRPr="00FD1AF0">
        <w:rPr>
          <w:rFonts w:ascii="Arial" w:hAnsi="Arial" w:cs="Arial"/>
          <w:i/>
          <w:iCs/>
          <w:spacing w:val="2"/>
          <w:sz w:val="24"/>
          <w:szCs w:val="24"/>
          <w:lang w:eastAsia="pt-BR"/>
        </w:rPr>
        <w:t>(s): 1998 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i/>
          <w:iCs/>
          <w:spacing w:val="2"/>
          <w:sz w:val="24"/>
          <w:szCs w:val="24"/>
          <w:lang w:eastAsia="pt-BR"/>
        </w:rPr>
        <w:t>LIVRO CAIXA - DEDUTIBILIDADE DE DESPESAS - ADVOGADO - Os pagamentos efetuados por advogado a outros advogados sem vínculo empregatício podem ser deduzidos quando comprovadamente necessários à percepção da receita e manutenção da fonte produtora e apresentados documentos probantes da efetividade dos serviços prestados. 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i/>
          <w:iCs/>
          <w:spacing w:val="2"/>
          <w:sz w:val="24"/>
          <w:szCs w:val="24"/>
          <w:lang w:eastAsia="pt-BR"/>
        </w:rPr>
        <w:t>Recurso provido. 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i/>
          <w:iCs/>
          <w:spacing w:val="2"/>
          <w:sz w:val="24"/>
          <w:szCs w:val="24"/>
          <w:lang w:eastAsia="pt-BR"/>
        </w:rPr>
        <w:t>Por unanimidade de votos, DAR provimento ao recurso. 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i/>
          <w:iCs/>
          <w:spacing w:val="2"/>
          <w:sz w:val="24"/>
          <w:szCs w:val="24"/>
          <w:lang w:eastAsia="pt-BR"/>
        </w:rPr>
        <w:lastRenderedPageBreak/>
        <w:t>(...)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i/>
          <w:iCs/>
          <w:spacing w:val="2"/>
          <w:sz w:val="24"/>
          <w:szCs w:val="24"/>
          <w:lang w:eastAsia="pt-BR"/>
        </w:rPr>
        <w:t>Recorrida: 4ª TURMA/DRJ-CURITIBA/PR 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i/>
          <w:iCs/>
          <w:spacing w:val="2"/>
          <w:sz w:val="24"/>
          <w:szCs w:val="24"/>
          <w:lang w:eastAsia="pt-BR"/>
        </w:rPr>
        <w:t>(Data da Decisão: 11.11.2005 17.03.2006)</w:t>
      </w: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 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7 - </w:t>
      </w:r>
      <w:r w:rsidRPr="00FD1AF0">
        <w:rPr>
          <w:rFonts w:ascii="Arial" w:hAnsi="Arial" w:cs="Arial"/>
          <w:b/>
          <w:bCs/>
          <w:spacing w:val="2"/>
          <w:sz w:val="24"/>
          <w:szCs w:val="24"/>
          <w:lang w:eastAsia="pt-BR"/>
        </w:rPr>
        <w:t>Despesas com material de consumo</w:t>
      </w:r>
    </w:p>
    <w:p w:rsid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</w:p>
    <w:p w:rsidR="00FD1AF0" w:rsidRPr="00FD1AF0" w:rsidRDefault="00FD1AF0" w:rsidP="00FD1AF0">
      <w:pPr>
        <w:pStyle w:val="SemEspaamento"/>
        <w:ind w:firstLine="1134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 xml:space="preserve">Material de consumo indispensável à consecução dos objetivos profissionais é integramente </w:t>
      </w:r>
      <w:proofErr w:type="gramStart"/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dedutíveis</w:t>
      </w:r>
      <w:proofErr w:type="gramEnd"/>
      <w:r w:rsidRPr="00FD1AF0">
        <w:rPr>
          <w:rFonts w:ascii="Arial" w:hAnsi="Arial" w:cs="Arial"/>
          <w:spacing w:val="2"/>
          <w:sz w:val="24"/>
          <w:szCs w:val="24"/>
          <w:lang w:eastAsia="pt-BR"/>
        </w:rPr>
        <w:t xml:space="preserve"> do rendimento bruto, quando realizadas no ano-calendário considerado, as quantias despendidas na aquisição de bens próprios para consumo, tais como: material de escritório, material de conservação e limpeza, materiais e produtos de qualquer natureza usados e consumidos nos tratamentos, reparos, consertos, recuperações ou outras.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Base Legal: Instrução Normativa 15 SRF/2001. </w:t>
      </w:r>
    </w:p>
    <w:p w:rsid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8 - </w:t>
      </w:r>
      <w:r w:rsidRPr="00FD1AF0">
        <w:rPr>
          <w:rFonts w:ascii="Arial" w:hAnsi="Arial" w:cs="Arial"/>
          <w:b/>
          <w:bCs/>
          <w:spacing w:val="2"/>
          <w:sz w:val="24"/>
          <w:szCs w:val="24"/>
          <w:lang w:eastAsia="pt-BR"/>
        </w:rPr>
        <w:t>Despesas de propaganda</w:t>
      </w:r>
    </w:p>
    <w:p w:rsidR="00FD1AF0" w:rsidRPr="00FD1AF0" w:rsidRDefault="00FD1AF0" w:rsidP="00FD1AF0">
      <w:pPr>
        <w:pStyle w:val="SemEspaamento"/>
        <w:ind w:firstLine="1134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Nenhum profissional liberal consegue sobressair no mercado sem ser conhecido. Assim, os gastos com propaganda, efetuados pelo profissional liberal, são dedutíveis desde que escriturados em </w:t>
      </w:r>
      <w:hyperlink r:id="rId15" w:history="1">
        <w:r w:rsidRPr="00FD1AF0">
          <w:rPr>
            <w:rFonts w:ascii="Arial" w:hAnsi="Arial" w:cs="Arial"/>
            <w:b/>
            <w:bCs/>
            <w:spacing w:val="2"/>
            <w:sz w:val="24"/>
            <w:szCs w:val="24"/>
            <w:u w:val="single"/>
            <w:lang w:eastAsia="pt-BR"/>
          </w:rPr>
          <w:t>livro Caixa</w:t>
        </w:r>
      </w:hyperlink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 e devidamente comprovados e que a propaganda se relacione com a respectiva atividade.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Base Legal: Instrução Normativa 15/01, SRF.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Jurisprudência Administrativa: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ACÓRDÃO 106-12.870 em 17/09/2002. Publicado no DOU em: 10.02.2003.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 xml:space="preserve">Órgão: 1º Conselho de Contribuintes / </w:t>
      </w:r>
      <w:proofErr w:type="gramStart"/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6a.</w:t>
      </w:r>
      <w:proofErr w:type="gramEnd"/>
      <w:r w:rsidRPr="00FD1AF0">
        <w:rPr>
          <w:rFonts w:ascii="Arial" w:hAnsi="Arial" w:cs="Arial"/>
          <w:spacing w:val="2"/>
          <w:sz w:val="24"/>
          <w:szCs w:val="24"/>
          <w:lang w:eastAsia="pt-BR"/>
        </w:rPr>
        <w:t xml:space="preserve"> Câmara. ACÓRDÃO 106-12.870 em 17.09.2002.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LIVRO CAIXA - DESPESA COM PLACA INDICATIVA - A placa indicativa não pode ser considerada como despesa de custeio para efeitos de ser apropriada como despesa no </w:t>
      </w:r>
      <w:hyperlink r:id="rId16" w:history="1">
        <w:r w:rsidRPr="00FD1AF0">
          <w:rPr>
            <w:rFonts w:ascii="Arial" w:hAnsi="Arial" w:cs="Arial"/>
            <w:b/>
            <w:bCs/>
            <w:spacing w:val="2"/>
            <w:sz w:val="24"/>
            <w:szCs w:val="24"/>
            <w:u w:val="single"/>
            <w:lang w:eastAsia="pt-BR"/>
          </w:rPr>
          <w:t xml:space="preserve">livro </w:t>
        </w:r>
        <w:proofErr w:type="gramStart"/>
        <w:r w:rsidRPr="00FD1AF0">
          <w:rPr>
            <w:rFonts w:ascii="Arial" w:hAnsi="Arial" w:cs="Arial"/>
            <w:b/>
            <w:bCs/>
            <w:spacing w:val="2"/>
            <w:sz w:val="24"/>
            <w:szCs w:val="24"/>
            <w:u w:val="single"/>
            <w:lang w:eastAsia="pt-BR"/>
          </w:rPr>
          <w:t>caixa,</w:t>
        </w:r>
        <w:proofErr w:type="gramEnd"/>
      </w:hyperlink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 posto que é material de duração prolongada, não se enquadrando na definição de material de consumo. </w:t>
      </w:r>
    </w:p>
    <w:p w:rsidR="00FD1AF0" w:rsidRDefault="00FD1AF0" w:rsidP="00FD1AF0">
      <w:pPr>
        <w:pStyle w:val="SemEspaamento"/>
        <w:jc w:val="both"/>
        <w:rPr>
          <w:rFonts w:ascii="Arial" w:hAnsi="Arial" w:cs="Arial"/>
          <w:b/>
          <w:bCs/>
          <w:spacing w:val="2"/>
          <w:sz w:val="24"/>
          <w:szCs w:val="24"/>
          <w:lang w:eastAsia="pt-BR"/>
        </w:rPr>
      </w:pP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b/>
          <w:bCs/>
          <w:spacing w:val="2"/>
          <w:sz w:val="24"/>
          <w:szCs w:val="24"/>
          <w:lang w:eastAsia="pt-BR"/>
        </w:rPr>
        <w:t>9 – Contribuições aos órgãos de classe e de fiscalização profissional</w:t>
      </w:r>
    </w:p>
    <w:p w:rsidR="00FD1AF0" w:rsidRPr="00FD1AF0" w:rsidRDefault="00FD1AF0" w:rsidP="00FD1AF0">
      <w:pPr>
        <w:pStyle w:val="SemEspaamento"/>
        <w:ind w:firstLine="1134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Todo profissional liberal está sujeito à fiscalização profissional, além de pertencerem aos sindicatos de suas categorias profissionais. Desse modo, as contribuições que as pessoas físicas pagam para os sindicatos e outras entidades de classes profissionais a que estão filiadas, cujos valores sejam fixados pelas Assembleias Gerais ou Diretorias, com base nos respectivos estatutos, são admitidas como despesas, podendo ser reduzidas do rendimento bruto auferido.</w:t>
      </w:r>
    </w:p>
    <w:p w:rsidR="00FD1AF0" w:rsidRPr="00FD1AF0" w:rsidRDefault="00FD1AF0" w:rsidP="00FD1AF0">
      <w:pPr>
        <w:pStyle w:val="SemEspaamento"/>
        <w:ind w:firstLine="1134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Desde que relacionadas com a atividade do profissional autônoma e escrituradas no </w:t>
      </w:r>
      <w:hyperlink r:id="rId17" w:history="1">
        <w:r w:rsidRPr="00FD1AF0">
          <w:rPr>
            <w:rFonts w:ascii="Arial" w:hAnsi="Arial" w:cs="Arial"/>
            <w:b/>
            <w:bCs/>
            <w:spacing w:val="2"/>
            <w:sz w:val="24"/>
            <w:szCs w:val="24"/>
            <w:u w:val="single"/>
            <w:lang w:eastAsia="pt-BR"/>
          </w:rPr>
          <w:t xml:space="preserve">livro </w:t>
        </w:r>
        <w:proofErr w:type="gramStart"/>
        <w:r w:rsidRPr="00FD1AF0">
          <w:rPr>
            <w:rFonts w:ascii="Arial" w:hAnsi="Arial" w:cs="Arial"/>
            <w:b/>
            <w:bCs/>
            <w:spacing w:val="2"/>
            <w:sz w:val="24"/>
            <w:szCs w:val="24"/>
            <w:u w:val="single"/>
            <w:lang w:eastAsia="pt-BR"/>
          </w:rPr>
          <w:t>Caixa,</w:t>
        </w:r>
        <w:proofErr w:type="gramEnd"/>
      </w:hyperlink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 serão dedutíveis as seguintes contribuições: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a) a contribuição sindical e outras contribuições para o sindicato de classe;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b) a contribuição às associações cientifica e para outras associações, cujas atividades se relacionem com as do contribuinte e, que a este forneçam subsídios para o exercício da profissão e percepção dos rendimentos;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c) contribuições para as Autarquias Federais que fiscalizam o exercício das profissões liberais tais como a Ordem dos Advogados do Brasil (OAB), os Conselhos Federais e Regionais de Medicina, </w:t>
      </w:r>
      <w:hyperlink r:id="rId18" w:history="1">
        <w:proofErr w:type="gramStart"/>
        <w:r w:rsidRPr="00FD1AF0">
          <w:rPr>
            <w:rFonts w:ascii="Arial" w:hAnsi="Arial" w:cs="Arial"/>
            <w:b/>
            <w:bCs/>
            <w:spacing w:val="2"/>
            <w:sz w:val="24"/>
            <w:szCs w:val="24"/>
            <w:u w:val="single"/>
            <w:lang w:eastAsia="pt-BR"/>
          </w:rPr>
          <w:t>Contabilidade,</w:t>
        </w:r>
        <w:proofErr w:type="gramEnd"/>
      </w:hyperlink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 Estatística, Biblioteconomia, Farmácia, Engenharia, Arquitetura, Agronomia e outros.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Base Legal: Instrução Normativa SRF 15/2001.</w:t>
      </w:r>
    </w:p>
    <w:p w:rsidR="00FD1AF0" w:rsidRPr="00FD1AF0" w:rsidRDefault="00FD1AF0" w:rsidP="00FD1AF0">
      <w:pPr>
        <w:pStyle w:val="SemEspaamento"/>
        <w:ind w:firstLine="1134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lastRenderedPageBreak/>
        <w:t>Não vamos citar mais tipos de despesas por economia de espaço, além de lembrar que há vários textos publicados pelas revistas especializadas em </w:t>
      </w:r>
      <w:hyperlink r:id="rId19" w:history="1">
        <w:r w:rsidRPr="00FD1AF0">
          <w:rPr>
            <w:rFonts w:ascii="Arial" w:hAnsi="Arial" w:cs="Arial"/>
            <w:b/>
            <w:bCs/>
            <w:spacing w:val="2"/>
            <w:sz w:val="24"/>
            <w:szCs w:val="24"/>
            <w:u w:val="single"/>
            <w:lang w:eastAsia="pt-BR"/>
          </w:rPr>
          <w:t>contabilidade</w:t>
        </w:r>
      </w:hyperlink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 e direito tributárias sobre o tema.</w:t>
      </w:r>
    </w:p>
    <w:p w:rsidR="00FD1AF0" w:rsidRDefault="00FD1AF0" w:rsidP="00FD1AF0">
      <w:pPr>
        <w:pStyle w:val="SemEspaamento"/>
        <w:jc w:val="both"/>
        <w:rPr>
          <w:rFonts w:ascii="Arial" w:hAnsi="Arial" w:cs="Arial"/>
          <w:b/>
          <w:bCs/>
          <w:spacing w:val="2"/>
          <w:sz w:val="24"/>
          <w:szCs w:val="24"/>
          <w:lang w:eastAsia="pt-BR"/>
        </w:rPr>
      </w:pPr>
    </w:p>
    <w:p w:rsidR="00FD1AF0" w:rsidRDefault="00FD1AF0" w:rsidP="00FD1AF0">
      <w:pPr>
        <w:pStyle w:val="SemEspaamento"/>
        <w:jc w:val="both"/>
        <w:rPr>
          <w:rFonts w:ascii="Arial" w:hAnsi="Arial" w:cs="Arial"/>
          <w:b/>
          <w:bCs/>
          <w:spacing w:val="2"/>
          <w:sz w:val="24"/>
          <w:szCs w:val="24"/>
          <w:lang w:eastAsia="pt-BR"/>
        </w:rPr>
      </w:pPr>
    </w:p>
    <w:p w:rsidR="00FD1AF0" w:rsidRDefault="00FD1AF0" w:rsidP="00FD1AF0">
      <w:pPr>
        <w:pStyle w:val="SemEspaamento"/>
        <w:jc w:val="both"/>
        <w:rPr>
          <w:rFonts w:ascii="Arial" w:hAnsi="Arial" w:cs="Arial"/>
          <w:b/>
          <w:bCs/>
          <w:spacing w:val="2"/>
          <w:sz w:val="24"/>
          <w:szCs w:val="24"/>
          <w:lang w:eastAsia="pt-BR"/>
        </w:rPr>
      </w:pP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b/>
          <w:bCs/>
          <w:spacing w:val="2"/>
          <w:sz w:val="24"/>
          <w:szCs w:val="24"/>
          <w:lang w:eastAsia="pt-BR"/>
        </w:rPr>
        <w:t>CONCLUSÃO E SOLUÇÃO</w:t>
      </w:r>
    </w:p>
    <w:p w:rsid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</w:p>
    <w:p w:rsidR="00FD1AF0" w:rsidRPr="00FD1AF0" w:rsidRDefault="00FD1AF0" w:rsidP="00FD1AF0">
      <w:pPr>
        <w:pStyle w:val="SemEspaamento"/>
        <w:ind w:firstLine="1134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Diante do exposto podemos concluir que, ao receber auto de infração por glosa de despesas necessárias às suas atividades, os contribuintes pessoas físicas sujeitas ao carnê-leão deverão impugnar os autos de infração, levando o caso até ao CARF, tendo o cuidado de juntar toda documentação idônea que prova a sua real necessidade às suas atividades profissionais.</w:t>
      </w:r>
    </w:p>
    <w:p w:rsid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</w:p>
    <w:p w:rsidR="00FD1AF0" w:rsidRPr="00FD1AF0" w:rsidRDefault="00FD1AF0" w:rsidP="00FD1AF0">
      <w:pPr>
        <w:pStyle w:val="SemEspaamento"/>
        <w:ind w:firstLine="1134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Como solução alertamos que, a partir de 2015, temos o </w:t>
      </w:r>
      <w:hyperlink r:id="rId20" w:history="1">
        <w:r w:rsidRPr="00FD1AF0">
          <w:rPr>
            <w:rFonts w:ascii="Arial" w:hAnsi="Arial" w:cs="Arial"/>
            <w:b/>
            <w:bCs/>
            <w:spacing w:val="2"/>
            <w:sz w:val="24"/>
            <w:szCs w:val="24"/>
            <w:u w:val="single"/>
            <w:lang w:eastAsia="pt-BR"/>
          </w:rPr>
          <w:t>SIMPLES NACIONAL</w:t>
        </w:r>
      </w:hyperlink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 para os profissionais liberais, um sistema tributário menos burocrático que o carnê-leão. Mas lembramos de que, em alguns casos, a constituição de empresa e opção pelo </w:t>
      </w:r>
      <w:hyperlink r:id="rId21" w:history="1">
        <w:r w:rsidRPr="00FD1AF0">
          <w:rPr>
            <w:rFonts w:ascii="Arial" w:hAnsi="Arial" w:cs="Arial"/>
            <w:b/>
            <w:bCs/>
            <w:spacing w:val="2"/>
            <w:sz w:val="24"/>
            <w:szCs w:val="24"/>
            <w:u w:val="single"/>
            <w:lang w:eastAsia="pt-BR"/>
          </w:rPr>
          <w:t>Lucro Presumido</w:t>
        </w:r>
      </w:hyperlink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 pode ser mais vantajosa para os profissionais liberais. Consultem seus Contadores.</w:t>
      </w:r>
    </w:p>
    <w:p w:rsid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Por:</w:t>
      </w:r>
      <w:proofErr w:type="gramStart"/>
      <w:r w:rsidRPr="00FD1AF0">
        <w:rPr>
          <w:rFonts w:ascii="Arial" w:hAnsi="Arial" w:cs="Arial"/>
          <w:spacing w:val="2"/>
          <w:sz w:val="24"/>
          <w:szCs w:val="24"/>
          <w:lang w:eastAsia="pt-BR"/>
        </w:rPr>
        <w:t xml:space="preserve">  </w:t>
      </w:r>
      <w:proofErr w:type="gramEnd"/>
      <w:r w:rsidRPr="00FD1AF0">
        <w:rPr>
          <w:rFonts w:ascii="Arial" w:hAnsi="Arial" w:cs="Arial"/>
          <w:b/>
          <w:bCs/>
          <w:spacing w:val="2"/>
          <w:sz w:val="24"/>
          <w:szCs w:val="24"/>
          <w:lang w:eastAsia="pt-BR"/>
        </w:rPr>
        <w:t>Roberto Rodrigues de Morais</w:t>
      </w:r>
    </w:p>
    <w:p w:rsidR="00FD1AF0" w:rsidRPr="00FD1AF0" w:rsidRDefault="00FD1AF0" w:rsidP="00FD1AF0">
      <w:pPr>
        <w:pStyle w:val="SemEspaamento"/>
        <w:jc w:val="both"/>
        <w:rPr>
          <w:rFonts w:ascii="Arial" w:hAnsi="Arial" w:cs="Arial"/>
          <w:spacing w:val="2"/>
          <w:sz w:val="24"/>
          <w:szCs w:val="24"/>
          <w:lang w:eastAsia="pt-BR"/>
        </w:rPr>
      </w:pPr>
      <w:r w:rsidRPr="00FD1AF0">
        <w:rPr>
          <w:rFonts w:ascii="Arial" w:hAnsi="Arial" w:cs="Arial"/>
          <w:spacing w:val="2"/>
          <w:sz w:val="24"/>
          <w:szCs w:val="24"/>
          <w:lang w:eastAsia="pt-BR"/>
        </w:rPr>
        <w:t>Fonte: O Autor</w:t>
      </w:r>
    </w:p>
    <w:p w:rsidR="00BE08B9" w:rsidRPr="00FD1AF0" w:rsidRDefault="00BE08B9" w:rsidP="00FD1AF0">
      <w:pPr>
        <w:pStyle w:val="SemEspaamento"/>
        <w:jc w:val="both"/>
        <w:rPr>
          <w:rFonts w:ascii="Arial" w:hAnsi="Arial" w:cs="Arial"/>
          <w:sz w:val="24"/>
          <w:szCs w:val="24"/>
        </w:rPr>
      </w:pPr>
    </w:p>
    <w:sectPr w:rsidR="00BE08B9" w:rsidRPr="00FD1A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134EE2"/>
    <w:multiLevelType w:val="multilevel"/>
    <w:tmpl w:val="DD28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1AF0"/>
    <w:rsid w:val="00BE08B9"/>
    <w:rsid w:val="00FD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D1A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D1AF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linhadeolho">
    <w:name w:val="linhadeolho"/>
    <w:basedOn w:val="Normal"/>
    <w:rsid w:val="00FD1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imestamp">
    <w:name w:val="timestamp"/>
    <w:basedOn w:val="Normal"/>
    <w:rsid w:val="00FD1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acessos">
    <w:name w:val="acessos"/>
    <w:basedOn w:val="Normal"/>
    <w:rsid w:val="00FD1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D1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FD1AF0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FD1AF0"/>
    <w:rPr>
      <w:b/>
      <w:bCs/>
    </w:rPr>
  </w:style>
  <w:style w:type="character" w:styleId="nfase">
    <w:name w:val="Emphasis"/>
    <w:basedOn w:val="Fontepargpadro"/>
    <w:uiPriority w:val="20"/>
    <w:qFormat/>
    <w:rsid w:val="00FD1AF0"/>
    <w:rPr>
      <w:i/>
      <w:iCs/>
    </w:rPr>
  </w:style>
  <w:style w:type="paragraph" w:styleId="SemEspaamento">
    <w:name w:val="No Spacing"/>
    <w:uiPriority w:val="1"/>
    <w:qFormat/>
    <w:rsid w:val="00FD1AF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D1A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D1AF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linhadeolho">
    <w:name w:val="linhadeolho"/>
    <w:basedOn w:val="Normal"/>
    <w:rsid w:val="00FD1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imestamp">
    <w:name w:val="timestamp"/>
    <w:basedOn w:val="Normal"/>
    <w:rsid w:val="00FD1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acessos">
    <w:name w:val="acessos"/>
    <w:basedOn w:val="Normal"/>
    <w:rsid w:val="00FD1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D1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FD1AF0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FD1AF0"/>
    <w:rPr>
      <w:b/>
      <w:bCs/>
    </w:rPr>
  </w:style>
  <w:style w:type="character" w:styleId="nfase">
    <w:name w:val="Emphasis"/>
    <w:basedOn w:val="Fontepargpadro"/>
    <w:uiPriority w:val="20"/>
    <w:qFormat/>
    <w:rsid w:val="00FD1AF0"/>
    <w:rPr>
      <w:i/>
      <w:iCs/>
    </w:rPr>
  </w:style>
  <w:style w:type="paragraph" w:styleId="SemEspaamento">
    <w:name w:val="No Spacing"/>
    <w:uiPriority w:val="1"/>
    <w:qFormat/>
    <w:rsid w:val="00FD1A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6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04302">
          <w:marLeft w:val="0"/>
          <w:marRight w:val="0"/>
          <w:marTop w:val="420"/>
          <w:marBottom w:val="0"/>
          <w:divBdr>
            <w:top w:val="single" w:sz="6" w:space="0" w:color="F0F0F0"/>
            <w:left w:val="none" w:sz="0" w:space="0" w:color="auto"/>
            <w:bottom w:val="single" w:sz="6" w:space="0" w:color="F0F0F0"/>
            <w:right w:val="none" w:sz="0" w:space="0" w:color="auto"/>
          </w:divBdr>
        </w:div>
        <w:div w:id="1479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tabeis.com.br/termos-contabeis/livro_caixa/" TargetMode="External"/><Relationship Id="rId13" Type="http://schemas.openxmlformats.org/officeDocument/2006/relationships/hyperlink" Target="https://www.contabeis.com.br/termos-contabeis/cst/" TargetMode="External"/><Relationship Id="rId18" Type="http://schemas.openxmlformats.org/officeDocument/2006/relationships/hyperlink" Target="https://www.contabeis.com.br/termos-contabeis/contabilidade/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www.contabeis.com.br/termos-contabeis/lucro_presumido/" TargetMode="External"/><Relationship Id="rId7" Type="http://schemas.openxmlformats.org/officeDocument/2006/relationships/hyperlink" Target="https://www.contabeis.com.br/termos-contabeis/honorarios/" TargetMode="External"/><Relationship Id="rId12" Type="http://schemas.openxmlformats.org/officeDocument/2006/relationships/hyperlink" Target="https://www.contabeis.com.br/termos-contabeis/livro_caixa/" TargetMode="External"/><Relationship Id="rId17" Type="http://schemas.openxmlformats.org/officeDocument/2006/relationships/hyperlink" Target="https://www.contabeis.com.br/termos-contabeis/livro_caixa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ntabeis.com.br/termos-contabeis/livro_caixa/" TargetMode="External"/><Relationship Id="rId20" Type="http://schemas.openxmlformats.org/officeDocument/2006/relationships/hyperlink" Target="https://www.contabeis.com.br/termos-contabeis/simples_nacional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ntabeis.com.br/termos-contabeis/irpf/" TargetMode="External"/><Relationship Id="rId11" Type="http://schemas.openxmlformats.org/officeDocument/2006/relationships/hyperlink" Target="https://www.contabeis.com.br/termos-contabeis/honorario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ontabeis.com.br/termos-contabeis/livro_caixa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contabeis.com.br/termos-contabeis/irpf/" TargetMode="External"/><Relationship Id="rId19" Type="http://schemas.openxmlformats.org/officeDocument/2006/relationships/hyperlink" Target="https://www.contabeis.com.br/termos-contabeis/contabilidad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ntabeis.com.br/termos-contabeis/livro_caixa/" TargetMode="External"/><Relationship Id="rId14" Type="http://schemas.openxmlformats.org/officeDocument/2006/relationships/hyperlink" Target="https://www.contabeis.com.br/termos-contabeis/livro_caixa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1495</Words>
  <Characters>8077</Characters>
  <Application>Microsoft Office Word</Application>
  <DocSecurity>0</DocSecurity>
  <Lines>67</Lines>
  <Paragraphs>19</Paragraphs>
  <ScaleCrop>false</ScaleCrop>
  <Company/>
  <LinksUpToDate>false</LinksUpToDate>
  <CharactersWithSpaces>9553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Silvana</dc:creator>
  <cp:lastModifiedBy>Silvana</cp:lastModifiedBy>
  <cp:revision>1</cp:revision>
  <dcterms:created xsi:type="dcterms:W3CDTF">2019-04-20T04:00:00Z</dcterms:created>
  <dcterms:modified xsi:type="dcterms:W3CDTF">2019-04-20T04:09:00Z</dcterms:modified>
</cp:coreProperties>
</file>