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2"/>
        <w:gridCol w:w="8"/>
      </w:tblGrid>
      <w:tr w:rsidR="00B563E5" w:rsidRPr="00B563E5" w:rsidTr="00B563E5">
        <w:trPr>
          <w:tblCellSpacing w:w="0" w:type="dxa"/>
        </w:trPr>
        <w:tc>
          <w:tcPr>
            <w:tcW w:w="0" w:type="auto"/>
            <w:tcBorders>
              <w:top w:val="nil"/>
              <w:left w:val="nil"/>
              <w:bottom w:val="nil"/>
              <w:right w:val="nil"/>
            </w:tcBorders>
            <w:vAlign w:val="center"/>
            <w:hideMark/>
          </w:tcPr>
          <w:p w:rsidR="00B563E5" w:rsidRPr="00B563E5" w:rsidRDefault="00B563E5" w:rsidP="00B563E5">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B563E5">
              <w:rPr>
                <w:rFonts w:ascii="Tahoma" w:eastAsia="Times New Roman" w:hAnsi="Tahoma" w:cs="Tahoma"/>
                <w:b/>
                <w:bCs/>
                <w:color w:val="666666"/>
                <w:spacing w:val="15"/>
                <w:sz w:val="20"/>
                <w:szCs w:val="20"/>
                <w:lang w:eastAsia="pt-BR"/>
              </w:rPr>
              <w:t>Escrituração Fiscal Digital (EFD) - Registro C170 (Itens da Nota Fiscal)</w:t>
            </w:r>
          </w:p>
        </w:tc>
        <w:tc>
          <w:tcPr>
            <w:tcW w:w="0" w:type="auto"/>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bookmarkEnd w:id="0"/>
    </w:tbl>
    <w:p w:rsidR="00B563E5" w:rsidRPr="00B563E5" w:rsidRDefault="00B563E5" w:rsidP="00B563E5">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rsidTr="00B563E5">
        <w:trPr>
          <w:tblCellSpacing w:w="0" w:type="dxa"/>
        </w:trPr>
        <w:tc>
          <w:tcPr>
            <w:tcW w:w="0" w:type="auto"/>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333333"/>
                <w:spacing w:val="15"/>
                <w:sz w:val="20"/>
                <w:szCs w:val="20"/>
                <w:lang w:eastAsia="pt-BR"/>
              </w:rPr>
            </w:pPr>
            <w:r w:rsidRPr="00B563E5">
              <w:rPr>
                <w:rFonts w:ascii="Tahoma" w:eastAsia="Times New Roman" w:hAnsi="Tahoma" w:cs="Tahoma"/>
                <w:b/>
                <w:bCs/>
                <w:color w:val="333333"/>
                <w:spacing w:val="15"/>
                <w:sz w:val="24"/>
                <w:szCs w:val="24"/>
                <w:bdr w:val="none" w:sz="0" w:space="0" w:color="auto" w:frame="1"/>
                <w:lang w:eastAsia="pt-BR"/>
              </w:rPr>
              <w:t>Resumo: </w:t>
            </w:r>
            <w:r w:rsidRPr="00B563E5">
              <w:rPr>
                <w:rFonts w:ascii="Tahoma" w:eastAsia="Times New Roman" w:hAnsi="Tahoma" w:cs="Tahoma"/>
                <w:color w:val="333333"/>
                <w:spacing w:val="15"/>
                <w:sz w:val="20"/>
                <w:szCs w:val="20"/>
                <w:lang w:eastAsia="pt-BR"/>
              </w:rPr>
              <w:t xml:space="preserve">Este procedimento trata dos principais aspectos relacionados aos dados a serem informados e dos requisitos para geração do registro C170 do bloco C, de acordo com as especificações do leiaute definido no Ato </w:t>
            </w:r>
            <w:proofErr w:type="spellStart"/>
            <w:r w:rsidRPr="00B563E5">
              <w:rPr>
                <w:rFonts w:ascii="Tahoma" w:eastAsia="Times New Roman" w:hAnsi="Tahoma" w:cs="Tahoma"/>
                <w:color w:val="333333"/>
                <w:spacing w:val="15"/>
                <w:sz w:val="20"/>
                <w:szCs w:val="20"/>
                <w:lang w:eastAsia="pt-BR"/>
              </w:rPr>
              <w:t>Cotepe</w:t>
            </w:r>
            <w:proofErr w:type="spellEnd"/>
            <w:r w:rsidRPr="00B563E5">
              <w:rPr>
                <w:rFonts w:ascii="Tahoma" w:eastAsia="Times New Roman" w:hAnsi="Tahoma" w:cs="Tahoma"/>
                <w:color w:val="333333"/>
                <w:spacing w:val="15"/>
                <w:sz w:val="20"/>
                <w:szCs w:val="20"/>
                <w:lang w:eastAsia="pt-BR"/>
              </w:rPr>
              <w:t>/ICMS nº 9/2008.</w:t>
            </w:r>
          </w:p>
        </w:tc>
      </w:tr>
    </w:tbl>
    <w:p w:rsidR="00B563E5" w:rsidRPr="00B563E5" w:rsidRDefault="00B563E5" w:rsidP="00B563E5">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B563E5" w:rsidRPr="00B563E5" w:rsidTr="00B563E5">
        <w:trPr>
          <w:tblCellSpacing w:w="0" w:type="dxa"/>
        </w:trPr>
        <w:tc>
          <w:tcPr>
            <w:tcW w:w="0" w:type="auto"/>
            <w:tcBorders>
              <w:top w:val="nil"/>
              <w:left w:val="nil"/>
              <w:bottom w:val="nil"/>
              <w:right w:val="nil"/>
            </w:tcBorders>
            <w:vAlign w:val="center"/>
            <w:hideMark/>
          </w:tcPr>
          <w:p w:rsidR="00B563E5" w:rsidRPr="00B563E5" w:rsidRDefault="00B563E5" w:rsidP="00B563E5">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Sumário</w:t>
            </w: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5" w:anchor="pcicpr-06025-1" w:history="1">
              <w:r w:rsidRPr="00B563E5">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6" w:anchor="pcicpr-06025-2" w:history="1">
              <w:r w:rsidRPr="00B563E5">
                <w:rPr>
                  <w:rFonts w:ascii="Tahoma" w:eastAsia="Times New Roman" w:hAnsi="Tahoma" w:cs="Tahoma"/>
                  <w:b/>
                  <w:bCs/>
                  <w:color w:val="333333"/>
                  <w:spacing w:val="15"/>
                  <w:sz w:val="20"/>
                  <w:szCs w:val="20"/>
                  <w:u w:val="single"/>
                  <w:bdr w:val="none" w:sz="0" w:space="0" w:color="auto" w:frame="1"/>
                  <w:lang w:eastAsia="pt-BR"/>
                </w:rPr>
                <w:t>2. Blocos e registros da EFD</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7" w:anchor="pcicpr-06025-3" w:history="1">
              <w:r w:rsidRPr="00B563E5">
                <w:rPr>
                  <w:rFonts w:ascii="Tahoma" w:eastAsia="Times New Roman" w:hAnsi="Tahoma" w:cs="Tahoma"/>
                  <w:b/>
                  <w:bCs/>
                  <w:color w:val="333333"/>
                  <w:spacing w:val="15"/>
                  <w:sz w:val="20"/>
                  <w:szCs w:val="20"/>
                  <w:u w:val="single"/>
                  <w:bdr w:val="none" w:sz="0" w:space="0" w:color="auto" w:frame="1"/>
                  <w:lang w:eastAsia="pt-BR"/>
                </w:rPr>
                <w:t>3. Obrigação do registro</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8" w:anchor="pcicpr-06025-4" w:history="1">
              <w:r w:rsidRPr="00B563E5">
                <w:rPr>
                  <w:rFonts w:ascii="Tahoma" w:eastAsia="Times New Roman" w:hAnsi="Tahoma" w:cs="Tahoma"/>
                  <w:b/>
                  <w:bCs/>
                  <w:color w:val="333333"/>
                  <w:spacing w:val="15"/>
                  <w:sz w:val="20"/>
                  <w:szCs w:val="20"/>
                  <w:u w:val="single"/>
                  <w:bdr w:val="none" w:sz="0" w:space="0" w:color="auto" w:frame="1"/>
                  <w:lang w:eastAsia="pt-BR"/>
                </w:rPr>
                <w:t>4. Leiaute</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333333"/>
                <w:spacing w:val="15"/>
                <w:sz w:val="20"/>
                <w:szCs w:val="20"/>
                <w:lang w:eastAsia="pt-BR"/>
              </w:rPr>
            </w:pPr>
            <w:hyperlink r:id="rId9" w:anchor="pcicpr-06025-4.1" w:history="1">
              <w:r w:rsidRPr="00B563E5">
                <w:rPr>
                  <w:rFonts w:ascii="Tahoma" w:eastAsia="Times New Roman" w:hAnsi="Tahoma" w:cs="Tahoma"/>
                  <w:color w:val="333333"/>
                  <w:spacing w:val="15"/>
                  <w:sz w:val="20"/>
                  <w:szCs w:val="20"/>
                  <w:u w:val="single"/>
                  <w:bdr w:val="none" w:sz="0" w:space="0" w:color="auto" w:frame="1"/>
                  <w:lang w:eastAsia="pt-BR"/>
                </w:rPr>
                <w:t>    4.1 Observações sobre o leiaute</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10" w:anchor="pcicpr-06025-5" w:history="1">
              <w:r w:rsidRPr="00B563E5">
                <w:rPr>
                  <w:rFonts w:ascii="Tahoma" w:eastAsia="Times New Roman" w:hAnsi="Tahoma" w:cs="Tahoma"/>
                  <w:b/>
                  <w:bCs/>
                  <w:color w:val="333333"/>
                  <w:spacing w:val="15"/>
                  <w:sz w:val="20"/>
                  <w:szCs w:val="20"/>
                  <w:u w:val="single"/>
                  <w:bdr w:val="none" w:sz="0" w:space="0" w:color="auto" w:frame="1"/>
                  <w:lang w:eastAsia="pt-BR"/>
                </w:rPr>
                <w:t>5. Preenchimento dos campos</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11" w:anchor="pcicpr-06025-6" w:history="1">
              <w:r w:rsidRPr="00B563E5">
                <w:rPr>
                  <w:rFonts w:ascii="Tahoma" w:eastAsia="Times New Roman" w:hAnsi="Tahoma" w:cs="Tahoma"/>
                  <w:b/>
                  <w:bCs/>
                  <w:color w:val="333333"/>
                  <w:spacing w:val="15"/>
                  <w:sz w:val="20"/>
                  <w:szCs w:val="20"/>
                  <w:u w:val="single"/>
                  <w:bdr w:val="none" w:sz="0" w:space="0" w:color="auto" w:frame="1"/>
                  <w:lang w:eastAsia="pt-BR"/>
                </w:rPr>
                <w:t>6. Arquivo-texto (TXT)</w:t>
              </w:r>
            </w:hyperlink>
          </w:p>
        </w:tc>
      </w:tr>
      <w:tr w:rsidR="00B563E5" w:rsidRPr="00B563E5" w:rsidTr="00B563E5">
        <w:trPr>
          <w:tblCellSpacing w:w="0" w:type="dxa"/>
        </w:trPr>
        <w:tc>
          <w:tcPr>
            <w:tcW w:w="4700" w:type="pct"/>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hyperlink r:id="rId12" w:anchor="pcicpr-06025-8" w:history="1">
              <w:r w:rsidRPr="00B563E5">
                <w:rPr>
                  <w:rFonts w:ascii="Tahoma" w:eastAsia="Times New Roman" w:hAnsi="Tahoma" w:cs="Tahoma"/>
                  <w:b/>
                  <w:bCs/>
                  <w:color w:val="333333"/>
                  <w:spacing w:val="15"/>
                  <w:sz w:val="20"/>
                  <w:szCs w:val="20"/>
                  <w:u w:val="single"/>
                  <w:bdr w:val="none" w:sz="0" w:space="0" w:color="auto" w:frame="1"/>
                  <w:lang w:eastAsia="pt-BR"/>
                </w:rPr>
                <w:t>8. Procedimentos referenciados</w:t>
              </w:r>
            </w:hyperlink>
          </w:p>
        </w:tc>
      </w:tr>
    </w:tbl>
    <w:p w:rsidR="00B563E5" w:rsidRPr="00B563E5" w:rsidRDefault="00B563E5" w:rsidP="00B563E5">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1" w:name="pcicpr-06025-1"/>
                <w:bookmarkEnd w:id="1"/>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1. Introdução</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 projeto do Sistema Público de Escrituração Digital (Sped), instituído pelo </w:t>
                  </w:r>
                  <w:r w:rsidRPr="00B563E5">
                    <w:rPr>
                      <w:rFonts w:ascii="Tahoma" w:eastAsia="Times New Roman" w:hAnsi="Tahoma" w:cs="Tahoma"/>
                      <w:color w:val="333333"/>
                      <w:spacing w:val="15"/>
                      <w:sz w:val="20"/>
                      <w:szCs w:val="20"/>
                      <w:bdr w:val="none" w:sz="0" w:space="0" w:color="auto" w:frame="1"/>
                      <w:lang w:eastAsia="pt-BR"/>
                    </w:rPr>
                    <w:t>Decreto nº </w:t>
                  </w:r>
                  <w:hyperlink r:id="rId13" w:anchor="fe+d+6022+2007" w:tgtFrame="_parent" w:history="1">
                    <w:r w:rsidRPr="00B563E5">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333333"/>
                      <w:spacing w:val="15"/>
                      <w:sz w:val="20"/>
                      <w:szCs w:val="20"/>
                      <w:lang w:eastAsia="pt-BR"/>
                    </w:rPr>
                    <w:t>,</w:t>
                  </w:r>
                  <w:proofErr w:type="gramEnd"/>
                  <w:r w:rsidRPr="00B563E5">
                    <w:rPr>
                      <w:rFonts w:ascii="Tahoma" w:eastAsia="Times New Roman" w:hAnsi="Tahoma" w:cs="Tahoma"/>
                      <w:color w:val="333333"/>
                      <w:spacing w:val="15"/>
                      <w:sz w:val="20"/>
                      <w:szCs w:val="20"/>
                      <w:lang w:eastAsia="pt-BR"/>
                    </w:rPr>
                    <w:t xml:space="preserve"> faz parte do Programa de Aceleração do Crescimento do Governo Federal (PAC 2007-2010) e constitui-se em mais um avanço na informatização da relação entre o Fisco e os contribuintes.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 xml:space="preserve">O projeto consiste, de modo geral, na modernização da sistemática atual do cumprimento das obrigações acessórias, transmitidas pelos contribuintes às administrações tributárias e aos órgãos fiscalizadores, utilizando a certificação digital para fins de assinatura dos documentos eletrônicos, garantindo assim a validade jurídica apenas na sua forma digital. É composto pela: Escrituração Contábil Digital (ECD), </w:t>
                  </w:r>
                  <w:r w:rsidRPr="00B563E5">
                    <w:rPr>
                      <w:rFonts w:ascii="Tahoma" w:eastAsia="Times New Roman" w:hAnsi="Tahoma" w:cs="Tahoma"/>
                      <w:color w:val="333333"/>
                      <w:spacing w:val="15"/>
                      <w:sz w:val="20"/>
                      <w:szCs w:val="20"/>
                      <w:lang w:eastAsia="pt-BR"/>
                    </w:rPr>
                    <w:lastRenderedPageBreak/>
                    <w:t xml:space="preserve">Escrituração Fiscal Digital (EFD), Nota Fiscal Eletrônica (NF-e), Conhecimento de Transporte Eletrônico (CT-e), Nota Fiscal de Serviços Eletrônica (NFS-e), </w:t>
                  </w:r>
                  <w:proofErr w:type="spellStart"/>
                  <w:r w:rsidRPr="00B563E5">
                    <w:rPr>
                      <w:rFonts w:ascii="Tahoma" w:eastAsia="Times New Roman" w:hAnsi="Tahoma" w:cs="Tahoma"/>
                      <w:color w:val="333333"/>
                      <w:spacing w:val="15"/>
                      <w:sz w:val="20"/>
                      <w:szCs w:val="20"/>
                      <w:lang w:eastAsia="pt-BR"/>
                    </w:rPr>
                    <w:t>Fcont</w:t>
                  </w:r>
                  <w:proofErr w:type="spellEnd"/>
                  <w:r w:rsidRPr="00B563E5">
                    <w:rPr>
                      <w:rFonts w:ascii="Tahoma" w:eastAsia="Times New Roman" w:hAnsi="Tahoma" w:cs="Tahoma"/>
                      <w:color w:val="333333"/>
                      <w:spacing w:val="15"/>
                      <w:sz w:val="20"/>
                      <w:szCs w:val="20"/>
                      <w:lang w:eastAsia="pt-BR"/>
                    </w:rPr>
                    <w:t xml:space="preserve"> e EFD Contribuições.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Neste texto, analisamos os principais aspectos relacionados aos dados a serem informados e os requisitos para geração do registro C170 do Bloco C. </w:t>
                  </w: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r>
                  <w:proofErr w:type="gramStart"/>
                  <w:r w:rsidRPr="00B563E5">
                    <w:rPr>
                      <w:rFonts w:ascii="Tahoma" w:eastAsia="Times New Roman" w:hAnsi="Tahoma" w:cs="Tahoma"/>
                      <w:color w:val="333333"/>
                      <w:spacing w:val="15"/>
                      <w:sz w:val="20"/>
                      <w:szCs w:val="20"/>
                      <w:bdr w:val="none" w:sz="0" w:space="0" w:color="auto" w:frame="1"/>
                      <w:lang w:eastAsia="pt-BR"/>
                    </w:rPr>
                    <w:t>(</w:t>
                  </w:r>
                  <w:proofErr w:type="gramEnd"/>
                  <w:r w:rsidRPr="00B563E5">
                    <w:rPr>
                      <w:rFonts w:ascii="Tahoma" w:eastAsia="Times New Roman" w:hAnsi="Tahoma" w:cs="Tahoma"/>
                      <w:color w:val="333333"/>
                      <w:spacing w:val="15"/>
                      <w:sz w:val="20"/>
                      <w:szCs w:val="20"/>
                      <w:bdr w:val="none" w:sz="0" w:space="0" w:color="auto" w:frame="1"/>
                      <w:lang w:eastAsia="pt-BR"/>
                    </w:rPr>
                    <w:t>Decreto nº </w:t>
                  </w:r>
                  <w:hyperlink r:id="rId14" w:anchor="fe+d+6022+2007" w:tgtFrame="_parent" w:history="1">
                    <w:r w:rsidRPr="00B563E5">
                      <w:rPr>
                        <w:rFonts w:ascii="Verdana" w:eastAsia="Times New Roman" w:hAnsi="Verdana" w:cs="Tahoma"/>
                        <w:b/>
                        <w:bCs/>
                        <w:color w:val="333333"/>
                        <w:spacing w:val="15"/>
                        <w:sz w:val="20"/>
                        <w:szCs w:val="20"/>
                        <w:u w:val="single"/>
                        <w:bdr w:val="none" w:sz="0" w:space="0" w:color="auto" w:frame="1"/>
                        <w:lang w:eastAsia="pt-BR"/>
                      </w:rPr>
                      <w:t>6.022/2007</w:t>
                    </w:r>
                  </w:hyperlink>
                  <w:r w:rsidRPr="00B563E5">
                    <w:rPr>
                      <w:rFonts w:ascii="Tahoma" w:eastAsia="Times New Roman" w:hAnsi="Tahoma" w:cs="Tahoma"/>
                      <w:color w:val="333333"/>
                      <w:spacing w:val="15"/>
                      <w:sz w:val="20"/>
                      <w:szCs w:val="20"/>
                      <w:bdr w:val="none" w:sz="0" w:space="0" w:color="auto" w:frame="1"/>
                      <w:lang w:eastAsia="pt-BR"/>
                    </w:rPr>
                    <w:t xml:space="preserve"> ; Ajuste </w:t>
                  </w:r>
                  <w:proofErr w:type="spellStart"/>
                  <w:r w:rsidRPr="00B563E5">
                    <w:rPr>
                      <w:rFonts w:ascii="Tahoma" w:eastAsia="Times New Roman" w:hAnsi="Tahoma" w:cs="Tahoma"/>
                      <w:color w:val="333333"/>
                      <w:spacing w:val="15"/>
                      <w:sz w:val="20"/>
                      <w:szCs w:val="20"/>
                      <w:bdr w:val="none" w:sz="0" w:space="0" w:color="auto" w:frame="1"/>
                      <w:lang w:eastAsia="pt-BR"/>
                    </w:rPr>
                    <w:t>Sinief</w:t>
                  </w:r>
                  <w:proofErr w:type="spellEnd"/>
                  <w:r w:rsidRPr="00B563E5">
                    <w:rPr>
                      <w:rFonts w:ascii="Tahoma" w:eastAsia="Times New Roman" w:hAnsi="Tahoma" w:cs="Tahoma"/>
                      <w:color w:val="333333"/>
                      <w:spacing w:val="15"/>
                      <w:sz w:val="20"/>
                      <w:szCs w:val="20"/>
                      <w:bdr w:val="none" w:sz="0" w:space="0" w:color="auto" w:frame="1"/>
                      <w:lang w:eastAsia="pt-BR"/>
                    </w:rPr>
                    <w:t xml:space="preserve"> nº </w:t>
                  </w:r>
                  <w:hyperlink r:id="rId15" w:anchor="fe+ajuste+sinief+2+2009" w:tgtFrame="_parent" w:history="1">
                    <w:r w:rsidRPr="00B563E5">
                      <w:rPr>
                        <w:rFonts w:ascii="Verdana" w:eastAsia="Times New Roman" w:hAnsi="Verdana" w:cs="Tahoma"/>
                        <w:b/>
                        <w:bCs/>
                        <w:color w:val="333333"/>
                        <w:spacing w:val="15"/>
                        <w:sz w:val="20"/>
                        <w:szCs w:val="20"/>
                        <w:u w:val="single"/>
                        <w:bdr w:val="none" w:sz="0" w:space="0" w:color="auto" w:frame="1"/>
                        <w:lang w:eastAsia="pt-BR"/>
                      </w:rPr>
                      <w:t>2/2009</w:t>
                    </w:r>
                  </w:hyperlink>
                  <w:r w:rsidRPr="00B563E5">
                    <w:rPr>
                      <w:rFonts w:ascii="Tahoma" w:eastAsia="Times New Roman" w:hAnsi="Tahoma" w:cs="Tahoma"/>
                      <w:color w:val="333333"/>
                      <w:spacing w:val="15"/>
                      <w:sz w:val="20"/>
                      <w:szCs w:val="20"/>
                      <w:bdr w:val="none" w:sz="0" w:space="0" w:color="auto" w:frame="1"/>
                      <w:lang w:eastAsia="pt-BR"/>
                    </w:rPr>
                    <w:t xml:space="preserve"> ; Ato </w:t>
                  </w:r>
                  <w:proofErr w:type="spellStart"/>
                  <w:r w:rsidRPr="00B563E5">
                    <w:rPr>
                      <w:rFonts w:ascii="Tahoma" w:eastAsia="Times New Roman" w:hAnsi="Tahoma" w:cs="Tahoma"/>
                      <w:color w:val="333333"/>
                      <w:spacing w:val="15"/>
                      <w:sz w:val="20"/>
                      <w:szCs w:val="20"/>
                      <w:bdr w:val="none" w:sz="0" w:space="0" w:color="auto" w:frame="1"/>
                      <w:lang w:eastAsia="pt-BR"/>
                    </w:rPr>
                    <w:t>Cotepe</w:t>
                  </w:r>
                  <w:proofErr w:type="spellEnd"/>
                  <w:r w:rsidRPr="00B563E5">
                    <w:rPr>
                      <w:rFonts w:ascii="Tahoma" w:eastAsia="Times New Roman" w:hAnsi="Tahoma" w:cs="Tahoma"/>
                      <w:color w:val="333333"/>
                      <w:spacing w:val="15"/>
                      <w:sz w:val="20"/>
                      <w:szCs w:val="20"/>
                      <w:bdr w:val="none" w:sz="0" w:space="0" w:color="auto" w:frame="1"/>
                      <w:lang w:eastAsia="pt-BR"/>
                    </w:rPr>
                    <w:t>/ICMS nº </w:t>
                  </w:r>
                  <w:hyperlink r:id="rId16" w:anchor="fe+ato+cotepe-icms+9+2008" w:tgtFrame="_parent" w:history="1">
                    <w:r w:rsidRPr="00B563E5">
                      <w:rPr>
                        <w:rFonts w:ascii="Verdana" w:eastAsia="Times New Roman" w:hAnsi="Verdana" w:cs="Tahoma"/>
                        <w:b/>
                        <w:bCs/>
                        <w:color w:val="333333"/>
                        <w:spacing w:val="15"/>
                        <w:sz w:val="20"/>
                        <w:szCs w:val="20"/>
                        <w:u w:val="single"/>
                        <w:bdr w:val="none" w:sz="0" w:space="0" w:color="auto" w:frame="1"/>
                        <w:lang w:eastAsia="pt-BR"/>
                      </w:rPr>
                      <w:t>9/2008</w:t>
                    </w:r>
                  </w:hyperlink>
                  <w:r w:rsidRPr="00B563E5">
                    <w:rPr>
                      <w:rFonts w:ascii="Tahoma" w:eastAsia="Times New Roman" w:hAnsi="Tahoma" w:cs="Tahoma"/>
                      <w:color w:val="333333"/>
                      <w:spacing w:val="15"/>
                      <w:sz w:val="20"/>
                      <w:szCs w:val="20"/>
                      <w:bdr w:val="none" w:sz="0" w:space="0" w:color="auto" w:frame="1"/>
                      <w:lang w:eastAsia="pt-BR"/>
                    </w:rPr>
                    <w:t> ) </w:t>
                  </w: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2" w:name="pcicpr-06025-2"/>
                <w:bookmarkEnd w:id="2"/>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2. Blocos e registros da EFD</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 arquivo digital é constituído de blocos, cada qual com um registro de abertura, com registros de dados e com um registro de encerramento, referindo-se cada um deles a um agrupamento de documentos e de outras informações econômico-fiscais.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773"/>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Os blocos devem ser organizados e dispostos na sequência estabelecida na Tabela de Blocos, a seguir transcrita.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 xml:space="preserve">Inicia-se com o bloco </w:t>
                  </w:r>
                  <w:proofErr w:type="gramStart"/>
                  <w:r w:rsidRPr="00B563E5">
                    <w:rPr>
                      <w:rFonts w:ascii="Tahoma" w:eastAsia="Times New Roman" w:hAnsi="Tahoma" w:cs="Tahoma"/>
                      <w:color w:val="333333"/>
                      <w:spacing w:val="15"/>
                      <w:sz w:val="20"/>
                      <w:szCs w:val="20"/>
                      <w:lang w:eastAsia="pt-BR"/>
                    </w:rPr>
                    <w:t>0</w:t>
                  </w:r>
                  <w:proofErr w:type="gramEnd"/>
                  <w:r w:rsidRPr="00B563E5">
                    <w:rPr>
                      <w:rFonts w:ascii="Tahoma" w:eastAsia="Times New Roman" w:hAnsi="Tahoma" w:cs="Tahoma"/>
                      <w:color w:val="333333"/>
                      <w:spacing w:val="15"/>
                      <w:sz w:val="20"/>
                      <w:szCs w:val="20"/>
                      <w:lang w:eastAsia="pt-BR"/>
                    </w:rPr>
                    <w:t xml:space="preserve"> e seus registros; na sequência, consta o bloco C, no qual está localizado o registro C170; depois, o bloco D, com os registros correspondentes; posteriormente, o bloco E </w:t>
                  </w:r>
                  <w:proofErr w:type="spellStart"/>
                  <w:r w:rsidRPr="00B563E5">
                    <w:rPr>
                      <w:rFonts w:ascii="Tahoma" w:eastAsia="Times New Roman" w:hAnsi="Tahoma" w:cs="Tahoma"/>
                      <w:color w:val="333333"/>
                      <w:spacing w:val="15"/>
                      <w:sz w:val="20"/>
                      <w:szCs w:val="20"/>
                      <w:lang w:eastAsia="pt-BR"/>
                    </w:rPr>
                    <w:t>e</w:t>
                  </w:r>
                  <w:proofErr w:type="spellEnd"/>
                  <w:r w:rsidRPr="00B563E5">
                    <w:rPr>
                      <w:rFonts w:ascii="Tahoma" w:eastAsia="Times New Roman" w:hAnsi="Tahoma" w:cs="Tahoma"/>
                      <w:color w:val="333333"/>
                      <w:spacing w:val="15"/>
                      <w:sz w:val="20"/>
                      <w:szCs w:val="20"/>
                      <w:lang w:eastAsia="pt-BR"/>
                    </w:rPr>
                    <w:t xml:space="preserve"> os demais; por fim, o bloco 9, que encerra o arquivo da EFD.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bookmarkStart w:id="3" w:name="pcicpr-06025-tabela_de_blocos"/>
            <w:bookmarkEnd w:id="3"/>
          </w:p>
          <w:tbl>
            <w:tblPr>
              <w:tblW w:w="5000" w:type="pct"/>
              <w:tblCellSpacing w:w="0" w:type="dxa"/>
              <w:tblCellMar>
                <w:left w:w="0" w:type="dxa"/>
                <w:right w:w="0" w:type="dxa"/>
              </w:tblCellMar>
              <w:tblLook w:val="04A0" w:firstRow="1" w:lastRow="0" w:firstColumn="1" w:lastColumn="0" w:noHBand="0" w:noVBand="1"/>
            </w:tblPr>
            <w:tblGrid>
              <w:gridCol w:w="14004"/>
            </w:tblGrid>
            <w:tr w:rsidR="00B563E5" w:rsidRPr="00B563E5">
              <w:trPr>
                <w:trHeight w:val="180"/>
                <w:tblCellSpacing w:w="0" w:type="dxa"/>
              </w:trPr>
              <w:tc>
                <w:tcPr>
                  <w:tcW w:w="0" w:type="auto"/>
                  <w:tcBorders>
                    <w:top w:val="nil"/>
                    <w:left w:val="nil"/>
                    <w:bottom w:val="nil"/>
                    <w:right w:val="nil"/>
                  </w:tcBorders>
                  <w:vAlign w:val="center"/>
                  <w:hideMark/>
                </w:tcPr>
                <w:p w:rsidR="00B563E5" w:rsidRPr="00B563E5" w:rsidRDefault="00B563E5" w:rsidP="00B563E5">
                  <w:pPr>
                    <w:spacing w:after="0" w:line="240" w:lineRule="auto"/>
                    <w:rPr>
                      <w:rFonts w:ascii="Times New Roman" w:eastAsia="Times New Roman" w:hAnsi="Times New Roman" w:cs="Times New Roman"/>
                      <w:sz w:val="18"/>
                      <w:szCs w:val="24"/>
                      <w:lang w:eastAsia="pt-BR"/>
                    </w:rPr>
                  </w:pPr>
                </w:p>
              </w:tc>
            </w:tr>
            <w:tr w:rsidR="00B563E5" w:rsidRPr="00B563E5">
              <w:trPr>
                <w:tblCellSpacing w:w="0" w:type="dxa"/>
              </w:trPr>
              <w:tc>
                <w:tcPr>
                  <w:tcW w:w="0" w:type="auto"/>
                  <w:tcBorders>
                    <w:top w:val="nil"/>
                    <w:left w:val="nil"/>
                    <w:bottom w:val="nil"/>
                    <w:right w:val="nil"/>
                  </w:tcBorders>
                  <w:vAlign w:val="center"/>
                  <w:hideMark/>
                </w:tcPr>
                <w:p w:rsidR="00B563E5" w:rsidRPr="00B563E5" w:rsidRDefault="00B563E5" w:rsidP="00B563E5">
                  <w:pPr>
                    <w:spacing w:after="0" w:line="240" w:lineRule="auto"/>
                    <w:rPr>
                      <w:rFonts w:ascii="Tahoma" w:eastAsia="Times New Roman" w:hAnsi="Tahoma" w:cs="Tahoma"/>
                      <w:b/>
                      <w:bCs/>
                      <w:color w:val="980202"/>
                      <w:spacing w:val="15"/>
                      <w:sz w:val="20"/>
                      <w:szCs w:val="20"/>
                      <w:lang w:eastAsia="pt-BR"/>
                    </w:rPr>
                  </w:pPr>
                  <w:r w:rsidRPr="00B563E5">
                    <w:rPr>
                      <w:rFonts w:ascii="Tahoma" w:eastAsia="Times New Roman" w:hAnsi="Tahoma" w:cs="Tahoma"/>
                      <w:b/>
                      <w:bCs/>
                      <w:color w:val="980202"/>
                      <w:spacing w:val="15"/>
                      <w:sz w:val="20"/>
                      <w:szCs w:val="20"/>
                      <w:lang w:eastAsia="pt-BR"/>
                    </w:rPr>
                    <w:t>Tabela de Blocos</w:t>
                  </w:r>
                </w:p>
              </w:tc>
            </w:tr>
          </w:tbl>
          <w:p w:rsidR="00B563E5" w:rsidRPr="00B563E5" w:rsidRDefault="00B563E5" w:rsidP="00B563E5">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663"/>
              <w:gridCol w:w="12737"/>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Blocos</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Descrição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0</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Abertura, Identificação e Referências</w:t>
                  </w:r>
                  <w:r w:rsidRPr="00B563E5">
                    <w:rPr>
                      <w:rFonts w:ascii="Times New Roman" w:eastAsia="Times New Roman" w:hAnsi="Times New Roman" w:cs="Times New Roman"/>
                      <w:sz w:val="24"/>
                      <w:szCs w:val="24"/>
                      <w:lang w:eastAsia="pt-BR"/>
                    </w:rPr>
                    <w:t> </w:t>
                  </w:r>
                  <w:proofErr w:type="gramStart"/>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Documentos Fiscais I - Mercadorias (ICMS/IPI)</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lastRenderedPageBreak/>
                    <w:t>D</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Documentos Fiscais II - Serviços (ICMS)</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E</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Apuração do ICMS e do IPI</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G</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Controle de Crédito de ICMS do Ativo Permanente (CIAP</w:t>
                  </w:r>
                  <w:proofErr w:type="gramStart"/>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H</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Inventário Físico</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K</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Controle da produção e do estoque</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Outras Informações</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9</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Controle e Encerramento do Arquivo Digital</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Os registros são compostos de campos que devem ser apresentados de forma sequencial e conforme estabelecido no leiaute do respectivo registro com todos os campos previstos independentemente de haver ou não informação a ser prestada naquele campo (a exclusão de campos ocasiona erro na estrutura do registro).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6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Dentro da hierarquia, a ordem de apresentação dos registros é sequencial e ascendente.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22"/>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Todos os registros com a observação de "registro obrigatório" devem constar do arquivo.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Note-se que não devem ser incluídos na EFD-ICMS/IPI Registros para os quais não existam informações a serem prestadas. </w:t>
                  </w:r>
                </w:p>
                <w:tbl>
                  <w:tblPr>
                    <w:tblW w:w="11280" w:type="dxa"/>
                    <w:tblCellSpacing w:w="15" w:type="dxa"/>
                    <w:tblCellMar>
                      <w:left w:w="0" w:type="dxa"/>
                      <w:right w:w="0" w:type="dxa"/>
                    </w:tblCellMar>
                    <w:tblLook w:val="04A0" w:firstRow="1" w:lastRow="0" w:firstColumn="1" w:lastColumn="0" w:noHBand="0" w:noVBand="1"/>
                  </w:tblPr>
                  <w:tblGrid>
                    <w:gridCol w:w="13944"/>
                  </w:tblGrid>
                  <w:tr w:rsidR="00B563E5" w:rsidRPr="00B563E5">
                    <w:trPr>
                      <w:tblCellSpacing w:w="15" w:type="dxa"/>
                    </w:trPr>
                    <w:tc>
                      <w:tcPr>
                        <w:tcW w:w="0" w:type="auto"/>
                        <w:tcBorders>
                          <w:top w:val="nil"/>
                          <w:left w:val="nil"/>
                          <w:bottom w:val="nil"/>
                          <w:right w:val="nil"/>
                        </w:tcBorders>
                        <w:vAlign w:val="center"/>
                        <w:hideMark/>
                      </w:tcPr>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B563E5" w:rsidRPr="00B563E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124ADBC8" wp14:editId="5CDE319D">
                                    <wp:extent cx="266700" cy="297180"/>
                                    <wp:effectExtent l="0" t="0" r="0" b="7620"/>
                                    <wp:docPr id="9" name="Imagem 9"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B563E5">
                                <w:rPr>
                                  <w:rFonts w:ascii="Tahoma" w:eastAsia="Times New Roman" w:hAnsi="Tahoma" w:cs="Tahoma"/>
                                  <w:b/>
                                  <w:bCs/>
                                  <w:color w:val="333333"/>
                                  <w:spacing w:val="15"/>
                                  <w:sz w:val="20"/>
                                  <w:szCs w:val="20"/>
                                  <w:bdr w:val="none" w:sz="0" w:space="0" w:color="auto" w:frame="1"/>
                                  <w:lang w:eastAsia="pt-BR"/>
                                </w:rPr>
                                <w:t> Nota:</w:t>
                              </w:r>
                            </w:p>
                          </w:tc>
                        </w:tr>
                      </w:tbl>
                      <w:p w:rsidR="00B563E5" w:rsidRPr="00B563E5" w:rsidRDefault="00B563E5" w:rsidP="00B563E5">
                        <w:pPr>
                          <w:spacing w:after="0" w:line="240" w:lineRule="auto"/>
                          <w:rPr>
                            <w:rFonts w:ascii="Tahoma" w:eastAsia="Times New Roman" w:hAnsi="Tahoma" w:cs="Tahoma"/>
                            <w:vanish/>
                            <w:color w:val="333333"/>
                            <w:spacing w:val="15"/>
                            <w:sz w:val="20"/>
                            <w:szCs w:val="20"/>
                            <w:bdr w:val="none" w:sz="0" w:space="0" w:color="auto" w:frame="1"/>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B563E5" w:rsidRPr="00B563E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B563E5" w:rsidRPr="00B563E5" w:rsidRDefault="00B563E5" w:rsidP="00B563E5">
                              <w:pPr>
                                <w:spacing w:after="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lastRenderedPageBreak/>
                                <w:t>O </w:t>
                              </w:r>
                              <w:r w:rsidRPr="00B563E5">
                                <w:rPr>
                                  <w:rFonts w:ascii="Tahoma" w:eastAsia="Times New Roman" w:hAnsi="Tahoma" w:cs="Tahoma"/>
                                  <w:color w:val="333333"/>
                                  <w:spacing w:val="15"/>
                                  <w:sz w:val="20"/>
                                  <w:szCs w:val="20"/>
                                  <w:bdr w:val="none" w:sz="0" w:space="0" w:color="auto" w:frame="1"/>
                                  <w:lang w:eastAsia="pt-BR"/>
                                </w:rPr>
                                <w:t xml:space="preserve">Ato </w:t>
                              </w:r>
                              <w:proofErr w:type="spellStart"/>
                              <w:r w:rsidRPr="00B563E5">
                                <w:rPr>
                                  <w:rFonts w:ascii="Tahoma" w:eastAsia="Times New Roman" w:hAnsi="Tahoma" w:cs="Tahoma"/>
                                  <w:color w:val="333333"/>
                                  <w:spacing w:val="15"/>
                                  <w:sz w:val="20"/>
                                  <w:szCs w:val="20"/>
                                  <w:bdr w:val="none" w:sz="0" w:space="0" w:color="auto" w:frame="1"/>
                                  <w:lang w:eastAsia="pt-BR"/>
                                </w:rPr>
                                <w:t>Cotepe</w:t>
                              </w:r>
                              <w:proofErr w:type="spellEnd"/>
                              <w:r w:rsidRPr="00B563E5">
                                <w:rPr>
                                  <w:rFonts w:ascii="Tahoma" w:eastAsia="Times New Roman" w:hAnsi="Tahoma" w:cs="Tahoma"/>
                                  <w:color w:val="333333"/>
                                  <w:spacing w:val="15"/>
                                  <w:sz w:val="20"/>
                                  <w:szCs w:val="20"/>
                                  <w:bdr w:val="none" w:sz="0" w:space="0" w:color="auto" w:frame="1"/>
                                  <w:lang w:eastAsia="pt-BR"/>
                                </w:rPr>
                                <w:t>/ICMS nº </w:t>
                              </w:r>
                              <w:hyperlink r:id="rId18" w:anchor="fe+ato+cotepe-icms+81+2017" w:tgtFrame="_parent" w:history="1">
                                <w:r w:rsidRPr="00B563E5">
                                  <w:rPr>
                                    <w:rFonts w:ascii="Verdana" w:eastAsia="Times New Roman" w:hAnsi="Verdana" w:cs="Tahoma"/>
                                    <w:b/>
                                    <w:bCs/>
                                    <w:color w:val="333333"/>
                                    <w:spacing w:val="15"/>
                                    <w:sz w:val="20"/>
                                    <w:szCs w:val="20"/>
                                    <w:u w:val="single"/>
                                    <w:bdr w:val="none" w:sz="0" w:space="0" w:color="auto" w:frame="1"/>
                                    <w:lang w:eastAsia="pt-BR"/>
                                  </w:rPr>
                                  <w:t>81/2017</w:t>
                                </w:r>
                              </w:hyperlink>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333333"/>
                                  <w:spacing w:val="15"/>
                                  <w:sz w:val="20"/>
                                  <w:szCs w:val="20"/>
                                  <w:lang w:eastAsia="pt-BR"/>
                                </w:rPr>
                                <w:t xml:space="preserve">alterou o Ato </w:t>
                              </w:r>
                              <w:proofErr w:type="spellStart"/>
                              <w:r w:rsidRPr="00B563E5">
                                <w:rPr>
                                  <w:rFonts w:ascii="Tahoma" w:eastAsia="Times New Roman" w:hAnsi="Tahoma" w:cs="Tahoma"/>
                                  <w:color w:val="333333"/>
                                  <w:spacing w:val="15"/>
                                  <w:sz w:val="20"/>
                                  <w:szCs w:val="20"/>
                                  <w:lang w:eastAsia="pt-BR"/>
                                </w:rPr>
                                <w:t>Cotepe</w:t>
                              </w:r>
                              <w:proofErr w:type="spellEnd"/>
                              <w:r w:rsidRPr="00B563E5">
                                <w:rPr>
                                  <w:rFonts w:ascii="Tahoma" w:eastAsia="Times New Roman" w:hAnsi="Tahoma" w:cs="Tahoma"/>
                                  <w:color w:val="333333"/>
                                  <w:spacing w:val="15"/>
                                  <w:sz w:val="20"/>
                                  <w:szCs w:val="20"/>
                                  <w:lang w:eastAsia="pt-BR"/>
                                </w:rPr>
                                <w:t>/ICMS nº </w:t>
                              </w:r>
                              <w:hyperlink r:id="rId19" w:anchor="fe+ato+cotepe-icms+9+2008" w:tgtFrame="_parent" w:history="1">
                                <w:r w:rsidRPr="00B563E5">
                                  <w:rPr>
                                    <w:rFonts w:ascii="Verdana" w:eastAsia="Times New Roman" w:hAnsi="Verdana" w:cs="Tahoma"/>
                                    <w:b/>
                                    <w:bCs/>
                                    <w:color w:val="333333"/>
                                    <w:spacing w:val="15"/>
                                    <w:sz w:val="20"/>
                                    <w:szCs w:val="20"/>
                                    <w:u w:val="single"/>
                                    <w:bdr w:val="none" w:sz="0" w:space="0" w:color="auto" w:frame="1"/>
                                    <w:lang w:eastAsia="pt-BR"/>
                                  </w:rPr>
                                  <w:t>9/2008</w:t>
                                </w:r>
                              </w:hyperlink>
                              <w:r w:rsidRPr="00B563E5">
                                <w:rPr>
                                  <w:rFonts w:ascii="Tahoma" w:eastAsia="Times New Roman" w:hAnsi="Tahoma" w:cs="Tahoma"/>
                                  <w:color w:val="333333"/>
                                  <w:spacing w:val="15"/>
                                  <w:sz w:val="20"/>
                                  <w:szCs w:val="20"/>
                                  <w:lang w:eastAsia="pt-BR"/>
                                </w:rPr>
                                <w:t> e aprovou a versão 2.0.22 do Guia Prático da EFD ICMS/IPI.</w:t>
                              </w:r>
                            </w:p>
                          </w:tc>
                        </w:tr>
                      </w:tbl>
                      <w:p w:rsidR="00B563E5" w:rsidRPr="00B563E5" w:rsidRDefault="00B563E5" w:rsidP="00B563E5">
                        <w:pPr>
                          <w:spacing w:after="0" w:line="240" w:lineRule="auto"/>
                          <w:rPr>
                            <w:rFonts w:ascii="Tahoma" w:eastAsia="Times New Roman" w:hAnsi="Tahoma" w:cs="Tahoma"/>
                            <w:color w:val="333333"/>
                            <w:spacing w:val="15"/>
                            <w:sz w:val="24"/>
                            <w:szCs w:val="24"/>
                            <w:bdr w:val="none" w:sz="0" w:space="0" w:color="auto" w:frame="1"/>
                            <w:lang w:eastAsia="pt-BR"/>
                          </w:rPr>
                        </w:pP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lastRenderedPageBreak/>
                    <w:br/>
                  </w:r>
                  <w:r w:rsidRPr="00B563E5">
                    <w:rPr>
                      <w:rFonts w:ascii="Tahoma" w:eastAsia="Times New Roman" w:hAnsi="Tahoma" w:cs="Tahoma"/>
                      <w:color w:val="333333"/>
                      <w:spacing w:val="15"/>
                      <w:sz w:val="20"/>
                      <w:szCs w:val="20"/>
                      <w:lang w:eastAsia="pt-BR"/>
                    </w:rPr>
                    <w:br/>
                  </w: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t xml:space="preserve">(Ato </w:t>
                  </w:r>
                  <w:proofErr w:type="spellStart"/>
                  <w:r w:rsidRPr="00B563E5">
                    <w:rPr>
                      <w:rFonts w:ascii="Tahoma" w:eastAsia="Times New Roman" w:hAnsi="Tahoma" w:cs="Tahoma"/>
                      <w:color w:val="333333"/>
                      <w:spacing w:val="15"/>
                      <w:sz w:val="20"/>
                      <w:szCs w:val="20"/>
                      <w:bdr w:val="none" w:sz="0" w:space="0" w:color="auto" w:frame="1"/>
                      <w:lang w:eastAsia="pt-BR"/>
                    </w:rPr>
                    <w:t>Cotepe</w:t>
                  </w:r>
                  <w:proofErr w:type="spellEnd"/>
                  <w:r w:rsidRPr="00B563E5">
                    <w:rPr>
                      <w:rFonts w:ascii="Tahoma" w:eastAsia="Times New Roman" w:hAnsi="Tahoma" w:cs="Tahoma"/>
                      <w:color w:val="333333"/>
                      <w:spacing w:val="15"/>
                      <w:sz w:val="20"/>
                      <w:szCs w:val="20"/>
                      <w:bdr w:val="none" w:sz="0" w:space="0" w:color="auto" w:frame="1"/>
                      <w:lang w:eastAsia="pt-BR"/>
                    </w:rPr>
                    <w:t>/ICMS nº </w:t>
                  </w:r>
                  <w:hyperlink r:id="rId20" w:anchor="fe+ato+cotepe-icms+9+2008" w:tgtFrame="_parent" w:history="1">
                    <w:r w:rsidRPr="00B563E5">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B563E5">
                    <w:rPr>
                      <w:rFonts w:ascii="Tahoma" w:eastAsia="Times New Roman" w:hAnsi="Tahoma" w:cs="Tahoma"/>
                      <w:color w:val="333333"/>
                      <w:spacing w:val="15"/>
                      <w:sz w:val="20"/>
                      <w:szCs w:val="20"/>
                      <w:bdr w:val="none" w:sz="0" w:space="0" w:color="auto" w:frame="1"/>
                      <w:lang w:eastAsia="pt-BR"/>
                    </w:rPr>
                    <w:t> ,</w:t>
                  </w:r>
                  <w:proofErr w:type="gramEnd"/>
                  <w:r w:rsidRPr="00B563E5">
                    <w:rPr>
                      <w:rFonts w:ascii="Tahoma" w:eastAsia="Times New Roman" w:hAnsi="Tahoma" w:cs="Tahoma"/>
                      <w:color w:val="333333"/>
                      <w:spacing w:val="15"/>
                      <w:sz w:val="20"/>
                      <w:szCs w:val="20"/>
                      <w:bdr w:val="none" w:sz="0" w:space="0" w:color="auto" w:frame="1"/>
                      <w:lang w:eastAsia="pt-BR"/>
                    </w:rPr>
                    <w:t xml:space="preserve"> Anexo </w:t>
                  </w:r>
                  <w:proofErr w:type="spellStart"/>
                  <w:r w:rsidRPr="00B563E5">
                    <w:rPr>
                      <w:rFonts w:ascii="Tahoma" w:eastAsia="Times New Roman" w:hAnsi="Tahoma" w:cs="Tahoma"/>
                      <w:color w:val="333333"/>
                      <w:spacing w:val="15"/>
                      <w:sz w:val="20"/>
                      <w:szCs w:val="20"/>
                      <w:bdr w:val="none" w:sz="0" w:space="0" w:color="auto" w:frame="1"/>
                      <w:lang w:eastAsia="pt-BR"/>
                    </w:rPr>
                    <w:t>Unico</w:t>
                  </w:r>
                  <w:proofErr w:type="spellEnd"/>
                  <w:r w:rsidRPr="00B563E5">
                    <w:rPr>
                      <w:rFonts w:ascii="Tahoma" w:eastAsia="Times New Roman" w:hAnsi="Tahoma" w:cs="Tahoma"/>
                      <w:color w:val="333333"/>
                      <w:spacing w:val="15"/>
                      <w:sz w:val="20"/>
                      <w:szCs w:val="20"/>
                      <w:bdr w:val="none" w:sz="0" w:space="0" w:color="auto" w:frame="1"/>
                      <w:lang w:eastAsia="pt-BR"/>
                    </w:rPr>
                    <w:t xml:space="preserve">, item 2.5; Ato </w:t>
                  </w:r>
                  <w:proofErr w:type="spellStart"/>
                  <w:r w:rsidRPr="00B563E5">
                    <w:rPr>
                      <w:rFonts w:ascii="Tahoma" w:eastAsia="Times New Roman" w:hAnsi="Tahoma" w:cs="Tahoma"/>
                      <w:color w:val="333333"/>
                      <w:spacing w:val="15"/>
                      <w:sz w:val="20"/>
                      <w:szCs w:val="20"/>
                      <w:bdr w:val="none" w:sz="0" w:space="0" w:color="auto" w:frame="1"/>
                      <w:lang w:eastAsia="pt-BR"/>
                    </w:rPr>
                    <w:t>Cotepe</w:t>
                  </w:r>
                  <w:proofErr w:type="spellEnd"/>
                  <w:r w:rsidRPr="00B563E5">
                    <w:rPr>
                      <w:rFonts w:ascii="Tahoma" w:eastAsia="Times New Roman" w:hAnsi="Tahoma" w:cs="Tahoma"/>
                      <w:color w:val="333333"/>
                      <w:spacing w:val="15"/>
                      <w:sz w:val="20"/>
                      <w:szCs w:val="20"/>
                      <w:bdr w:val="none" w:sz="0" w:space="0" w:color="auto" w:frame="1"/>
                      <w:lang w:eastAsia="pt-BR"/>
                    </w:rPr>
                    <w:t>/ICMS nº </w:t>
                  </w:r>
                  <w:hyperlink r:id="rId21" w:anchor="fe+ato+cotepe-icms+81+2017" w:tgtFrame="_parent" w:history="1">
                    <w:r w:rsidRPr="00B563E5">
                      <w:rPr>
                        <w:rFonts w:ascii="Verdana" w:eastAsia="Times New Roman" w:hAnsi="Verdana" w:cs="Tahoma"/>
                        <w:b/>
                        <w:bCs/>
                        <w:color w:val="333333"/>
                        <w:spacing w:val="15"/>
                        <w:sz w:val="20"/>
                        <w:szCs w:val="20"/>
                        <w:u w:val="single"/>
                        <w:bdr w:val="none" w:sz="0" w:space="0" w:color="auto" w:frame="1"/>
                        <w:lang w:eastAsia="pt-BR"/>
                      </w:rPr>
                      <w:t>81/2017</w:t>
                    </w:r>
                  </w:hyperlink>
                  <w:r w:rsidRPr="00B563E5">
                    <w:rPr>
                      <w:rFonts w:ascii="Tahoma" w:eastAsia="Times New Roman" w:hAnsi="Tahoma" w:cs="Tahoma"/>
                      <w:color w:val="333333"/>
                      <w:spacing w:val="15"/>
                      <w:sz w:val="20"/>
                      <w:szCs w:val="20"/>
                      <w:bdr w:val="none" w:sz="0" w:space="0" w:color="auto" w:frame="1"/>
                      <w:lang w:eastAsia="pt-BR"/>
                    </w:rPr>
                    <w:t> ; Guia Prático da EFD ICMS/IPI, Capítulo II, Seção 1) </w:t>
                  </w: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4" w:name="pcicpr-06025-3"/>
                <w:bookmarkEnd w:id="4"/>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3. Obrigação do registro</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 registro C170 é obrigatório para a discriminação dos "itens" da nota fiscal (mercadorias e/ou serviços constantes em notas conjugadas), inclusive em operações de entrada de mercadorias acompanhadas de NF-e emitida por terceiros.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822"/>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No registro C170, serão discriminados os itens das seguintes notas fiscais: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2889"/>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a) Nota Fiscal (código 01);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42"/>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b) Nota Fiscal Avulsa (código 1B);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356"/>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 xml:space="preserve">c) Nota Fiscal de Produtor (código 04); </w:t>
                  </w:r>
                  <w:proofErr w:type="gramStart"/>
                  <w:r w:rsidRPr="00B563E5">
                    <w:rPr>
                      <w:rFonts w:ascii="Tahoma" w:eastAsia="Times New Roman" w:hAnsi="Tahoma" w:cs="Tahoma"/>
                      <w:color w:val="333333"/>
                      <w:spacing w:val="15"/>
                      <w:sz w:val="20"/>
                      <w:szCs w:val="20"/>
                      <w:lang w:eastAsia="pt-BR"/>
                    </w:rPr>
                    <w:t>e</w:t>
                  </w:r>
                  <w:proofErr w:type="gramEnd"/>
                  <w:r w:rsidRPr="00B563E5">
                    <w:rPr>
                      <w:rFonts w:ascii="Tahoma" w:eastAsia="Times New Roman" w:hAnsi="Tahoma" w:cs="Tahoma"/>
                      <w:color w:val="333333"/>
                      <w:spacing w:val="15"/>
                      <w:sz w:val="20"/>
                      <w:szCs w:val="20"/>
                      <w:lang w:eastAsia="pt-BR"/>
                    </w:rPr>
                    <w:t>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977"/>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d) Nota Fiscal Eletrônica (código 55).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O termo "item" é aplicado às operações fiscais que envolvam mercadorias, serviços, produtos ou quaisquer outros itens concernentes às transações fiscais suportadas pelo documento, como, por exemplo, nota fiscal complementar, nota fiscal de ressarcimento, transferências de créditos e outros casos.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Não podem ser informados, para um mesmo documento fiscal, dois ou mais registros com o mesmo conteúdo no campo: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008"/>
                    <w:gridCol w:w="2762"/>
                    <w:gridCol w:w="10630"/>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lastRenderedPageBreak/>
                          <w:t>Nº</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Descrição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02</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NUM_ITEM</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Número sequencial do item no documento fiscal</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B563E5" w:rsidRPr="00B563E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3224972" wp14:editId="65688C74">
                              <wp:extent cx="266700" cy="297180"/>
                              <wp:effectExtent l="0" t="0" r="0" b="7620"/>
                              <wp:docPr id="8" name="Imagem 8"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B563E5">
                          <w:rPr>
                            <w:rFonts w:ascii="Tahoma" w:eastAsia="Times New Roman" w:hAnsi="Tahoma" w:cs="Tahoma"/>
                            <w:b/>
                            <w:bCs/>
                            <w:color w:val="333333"/>
                            <w:spacing w:val="15"/>
                            <w:sz w:val="20"/>
                            <w:szCs w:val="20"/>
                            <w:bdr w:val="none" w:sz="0" w:space="0" w:color="auto" w:frame="1"/>
                            <w:lang w:eastAsia="pt-BR"/>
                          </w:rPr>
                          <w:t> Nota</w:t>
                        </w:r>
                      </w:p>
                    </w:tc>
                  </w:tr>
                </w:tbl>
                <w:p w:rsidR="00B563E5" w:rsidRPr="00B563E5" w:rsidRDefault="00B563E5" w:rsidP="00B563E5">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B563E5" w:rsidRPr="00B563E5">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B563E5" w:rsidRPr="00B563E5" w:rsidRDefault="00B563E5" w:rsidP="00B563E5">
                        <w:pPr>
                          <w:spacing w:after="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Em relação aos documentos de entrada, os campos de valor de imposto/contribuição, base de cálculo e alíquota só devem ser informados se o adquirente tiver direito à apropriação do crédito (enfoque do declarante).</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t>(Guia Prático da EFD ICMS/IPI) </w:t>
                  </w: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5" w:name="pcicpr-06025-4"/>
                <w:bookmarkEnd w:id="5"/>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4. Leiaute</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257"/>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A seguir, demonstraremos a tabela com o leiaute.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76E12983" wp14:editId="37026B98">
                        <wp:extent cx="5935980" cy="5935980"/>
                        <wp:effectExtent l="0" t="0" r="7620" b="7620"/>
                        <wp:docPr id="7" name="Imagem 7" descr="https://www.iobonline.com.br/Repository/ServContent?guid=PCICPR-06025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CPR-06025_image002-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5935980"/>
                                </a:xfrm>
                                <a:prstGeom prst="rect">
                                  <a:avLst/>
                                </a:prstGeom>
                                <a:noFill/>
                                <a:ln>
                                  <a:noFill/>
                                </a:ln>
                              </pic:spPr>
                            </pic:pic>
                          </a:graphicData>
                        </a:graphic>
                      </wp:inline>
                    </w:drawing>
                  </w:r>
                  <w:r w:rsidRPr="00B563E5">
                    <w:rPr>
                      <w:rFonts w:ascii="Tahoma" w:eastAsia="Times New Roman" w:hAnsi="Tahoma" w:cs="Tahoma"/>
                      <w:color w:val="333333"/>
                      <w:spacing w:val="15"/>
                      <w:sz w:val="20"/>
                      <w:szCs w:val="20"/>
                      <w:lang w:eastAsia="pt-BR"/>
                    </w:rPr>
                    <w:t>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2E67A5C" wp14:editId="0EF11AF4">
                        <wp:extent cx="5943600" cy="1402080"/>
                        <wp:effectExtent l="0" t="0" r="0" b="7620"/>
                        <wp:docPr id="6" name="Imagem 6" descr="https://www.iobonline.com.br/Repository/ServContent?guid=PCICPR-06025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CPR-06025_image004-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r w:rsidRPr="00B563E5">
                    <w:rPr>
                      <w:rFonts w:ascii="Tahoma" w:eastAsia="Times New Roman" w:hAnsi="Tahoma" w:cs="Tahoma"/>
                      <w:color w:val="333333"/>
                      <w:spacing w:val="15"/>
                      <w:sz w:val="20"/>
                      <w:szCs w:val="20"/>
                      <w:lang w:eastAsia="pt-BR"/>
                    </w:rPr>
                    <w:t> </w:t>
                  </w: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t>(Guia prático da EFD ICMS/IPI)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bookmarkStart w:id="6" w:name="pcicpr-06025-4.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hyperlink r:id="rId24" w:history="1">
                    <w:r w:rsidRPr="00B563E5">
                      <w:rPr>
                        <w:rFonts w:ascii="Tahoma" w:eastAsia="Times New Roman" w:hAnsi="Tahoma" w:cs="Tahoma"/>
                        <w:b/>
                        <w:bCs/>
                        <w:color w:val="333333"/>
                        <w:spacing w:val="15"/>
                        <w:sz w:val="17"/>
                        <w:szCs w:val="17"/>
                        <w:u w:val="single"/>
                        <w:bdr w:val="none" w:sz="0" w:space="0" w:color="auto" w:frame="1"/>
                        <w:lang w:eastAsia="pt-BR"/>
                      </w:rPr>
                      <w:t>Retornar ao Sumário</w:t>
                    </w:r>
                  </w:hyperlink>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4.1 Observações sobre o leiaute</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Para melhor compreensão, efetuamos alguns esclarecimentos sobre o leiaute.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598"/>
                    <w:gridCol w:w="2530"/>
                    <w:gridCol w:w="2722"/>
                    <w:gridCol w:w="2764"/>
                    <w:gridCol w:w="2192"/>
                    <w:gridCol w:w="2594"/>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Nº</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Descrição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Tipo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B563E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B563E5">
                          <w:rPr>
                            <w:rFonts w:ascii="Tahoma" w:eastAsia="Times New Roman" w:hAnsi="Tahoma" w:cs="Tahoma"/>
                            <w:b/>
                            <w:bCs/>
                            <w:color w:val="FFFFFF"/>
                            <w:spacing w:val="15"/>
                            <w:sz w:val="17"/>
                            <w:szCs w:val="17"/>
                            <w:bdr w:val="none" w:sz="0" w:space="0" w:color="auto" w:frame="1"/>
                            <w:lang w:eastAsia="pt-BR"/>
                          </w:rPr>
                          <w:t>Dec</w:t>
                        </w:r>
                        <w:proofErr w:type="spellEnd"/>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Número do campo</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Indica o mnemônico do campo</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Indica a descrição da informação</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Numérico(N) ou Alfanumérico (C)</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Quantidade de caracteres</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Quantidades de casas decimais</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633"/>
                    <w:gridCol w:w="2252"/>
                    <w:gridCol w:w="8667"/>
                    <w:gridCol w:w="970"/>
                    <w:gridCol w:w="1030"/>
                    <w:gridCol w:w="848"/>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Nº</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Descrição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Tipo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B563E5">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B563E5">
                          <w:rPr>
                            <w:rFonts w:ascii="Tahoma" w:eastAsia="Times New Roman" w:hAnsi="Tahoma" w:cs="Tahoma"/>
                            <w:b/>
                            <w:bCs/>
                            <w:color w:val="FFFFFF"/>
                            <w:spacing w:val="15"/>
                            <w:sz w:val="17"/>
                            <w:szCs w:val="17"/>
                            <w:bdr w:val="none" w:sz="0" w:space="0" w:color="auto" w:frame="1"/>
                            <w:lang w:eastAsia="pt-BR"/>
                          </w:rPr>
                          <w:t>Dec</w:t>
                        </w:r>
                        <w:proofErr w:type="spellEnd"/>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01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REG</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Texto fixo contendo "C170"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004</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02</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NUM_ITEM</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Número sequencial do item no documento fiscal</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003</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Na coluna "</w:t>
                  </w:r>
                  <w:proofErr w:type="spellStart"/>
                  <w:proofErr w:type="gramStart"/>
                  <w:r w:rsidRPr="00B563E5">
                    <w:rPr>
                      <w:rFonts w:ascii="Tahoma" w:eastAsia="Times New Roman" w:hAnsi="Tahoma" w:cs="Tahoma"/>
                      <w:color w:val="333333"/>
                      <w:spacing w:val="15"/>
                      <w:sz w:val="20"/>
                      <w:szCs w:val="20"/>
                      <w:lang w:eastAsia="pt-BR"/>
                    </w:rPr>
                    <w:t>Tam</w:t>
                  </w:r>
                  <w:proofErr w:type="spellEnd"/>
                  <w:proofErr w:type="gramEnd"/>
                  <w:r w:rsidRPr="00B563E5">
                    <w:rPr>
                      <w:rFonts w:ascii="Tahoma" w:eastAsia="Times New Roman" w:hAnsi="Tahoma" w:cs="Tahoma"/>
                      <w:color w:val="333333"/>
                      <w:spacing w:val="15"/>
                      <w:sz w:val="20"/>
                      <w:szCs w:val="20"/>
                      <w:lang w:eastAsia="pt-BR"/>
                    </w:rPr>
                    <w:t>", o caractere * (asterisco) aposto ao lado do tamanho do campo indica que este deve ser informado com aquela quantidade exata de caracteres. </w:t>
                  </w: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t>(Guia Prático da EFD ICMS/IPI) </w:t>
                  </w: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7" w:name="pcicpr-06025-5"/>
                <w:bookmarkEnd w:id="7"/>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5. Preenchimento dos campos</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A seguir, demonstraremos a tabela com a forma de preenchimento dos campos do registro constante no Manual de Orientação do Leiaute da Escrituração Fiscal Digital (EFD).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4400"/>
                  </w:tblGrid>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01 (REG) - Valor Válido: [C170</w:t>
                        </w:r>
                        <w:proofErr w:type="gramStart"/>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02 (NUM-ITEM) - Validação: deve iniciar com "1" e incrementada de "1"</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03 (COD-ITEM) - Validação: o valor informado neste campo deve existir no registro 0200. Atentar para a premissa de que a informação deve ser prestada pela ótica do contribuinte, ou seja, nas operações de entradas de mercadorias, os códigos informados devem ser os definidos pelo próprio informante e não aqueles constantes do documento fiscal.</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05 (QTD) - Preenchimento: informar a quantidade do item constante no documento fiscal, tanto na entrada como na saída, expressa na unidade de medida informada no campo UNID.</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Validação: o valor informado no campo deve ser maior que "0" (zero).</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06 (UNID) - Preenchimento: informar a unidade de medida de comercialização do item utilizada no documento fiscal, tanto na entrada como na saída. Caso a unidade de medida do documento fiscal seja diferente da unidade de medida de controle de estoque informada no Registro 0200, deverá ser informado no Registro 0220 o fator de conversão entre as unidades de medida.</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Validação: o valor informado neste campo deve existir no registro 0190.</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lastRenderedPageBreak/>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07 (VL_ITEM) - Preenchimento: informar o valor total do item/produto (via de regra, o valor das mercadorias é equivalente à multiplicação da quantidade pelo preço unitário) ou do serviço.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Validação: a soma de valores dos registros C170 deve ser igual ao valor informado no campo VL_MERC do registro C100.</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08 (VL_DESC) - Preenchimento: informar o valor do desconto comercial, ou seja, os descontos incondicionais constantes do próprio documento fiscal.</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09 (IND_MOV) - Valores válidos: [0, 1</w:t>
                        </w:r>
                        <w:proofErr w:type="gramStart"/>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Preenchimento: indicar a movimentação física do item ou produto. Será informado o código "1" em todas as situações em que não houver movimentação de mercadorias, por exemplo: notas fiscais complementares, simples faturamento, remessas simbólicas, etc.</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10 (CST_ICMS) - Preenchimento: o campo deverá ser preenchido com o código da Situação Tributária sob o enfoque do declarante. Exemplo 1 - Aquisição de mercadorias tributadas para uso e consumo: informar código "90" da tabela B. Exemplo 2 - Aquisição de mercadorias para comercialização com ICMS retido por ST: informar código "60" da tabela B.</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Nas operações de aquisição de produtos de empresas do Simples Nacional, deverá ser indicado o CST_ICMS definido pelo Convênio </w:t>
                        </w:r>
                        <w:proofErr w:type="spellStart"/>
                        <w:r w:rsidRPr="00B563E5">
                          <w:rPr>
                            <w:rFonts w:ascii="Tahoma" w:eastAsia="Times New Roman" w:hAnsi="Tahoma" w:cs="Tahoma"/>
                            <w:color w:val="000000"/>
                            <w:spacing w:val="15"/>
                            <w:sz w:val="18"/>
                            <w:szCs w:val="18"/>
                            <w:bdr w:val="none" w:sz="0" w:space="0" w:color="auto" w:frame="1"/>
                            <w:lang w:eastAsia="pt-BR"/>
                          </w:rPr>
                          <w:t>Sinief</w:t>
                        </w:r>
                        <w:proofErr w:type="spellEnd"/>
                        <w:r w:rsidRPr="00B563E5">
                          <w:rPr>
                            <w:rFonts w:ascii="Tahoma" w:eastAsia="Times New Roman" w:hAnsi="Tahoma" w:cs="Tahoma"/>
                            <w:color w:val="000000"/>
                            <w:spacing w:val="15"/>
                            <w:sz w:val="18"/>
                            <w:szCs w:val="18"/>
                            <w:bdr w:val="none" w:sz="0" w:space="0" w:color="auto" w:frame="1"/>
                            <w:lang w:eastAsia="pt-BR"/>
                          </w:rPr>
                          <w:t xml:space="preserve"> s/nº de 1970.</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Para os estabelecimentos informantes da EFD-ICMS/IPI, optantes pelo Simples Nacional e que recolham o ICMS por este regime, na escrituração de documentos fiscais de saída deverá ser utilizada a Tabela B do CSOSN e na escrituração dos documentos fiscais de entrada, informar o CST_ICMS sob o enfoque do declarante.</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Validação: o valor informado no campo deve existir na Tabela da Situação Tributária referente ao ICMS, constante do art. 5º do Convênio </w:t>
                        </w:r>
                        <w:proofErr w:type="spellStart"/>
                        <w:r w:rsidRPr="00B563E5">
                          <w:rPr>
                            <w:rFonts w:ascii="Tahoma" w:eastAsia="Times New Roman" w:hAnsi="Tahoma" w:cs="Tahoma"/>
                            <w:color w:val="000000"/>
                            <w:spacing w:val="15"/>
                            <w:sz w:val="18"/>
                            <w:szCs w:val="18"/>
                            <w:bdr w:val="none" w:sz="0" w:space="0" w:color="auto" w:frame="1"/>
                            <w:lang w:eastAsia="pt-BR"/>
                          </w:rPr>
                          <w:t>Sinief</w:t>
                        </w:r>
                        <w:proofErr w:type="spellEnd"/>
                        <w:r w:rsidRPr="00B563E5">
                          <w:rPr>
                            <w:rFonts w:ascii="Tahoma" w:eastAsia="Times New Roman" w:hAnsi="Tahoma" w:cs="Tahoma"/>
                            <w:color w:val="000000"/>
                            <w:spacing w:val="15"/>
                            <w:sz w:val="18"/>
                            <w:szCs w:val="18"/>
                            <w:bdr w:val="none" w:sz="0" w:space="0" w:color="auto" w:frame="1"/>
                            <w:lang w:eastAsia="pt-BR"/>
                          </w:rPr>
                          <w:t xml:space="preserve"> s/nº de 19/70 e/ou do </w:t>
                        </w:r>
                        <w:r w:rsidRPr="00B563E5">
                          <w:rPr>
                            <w:rFonts w:ascii="Tahoma" w:eastAsia="Times New Roman" w:hAnsi="Tahoma" w:cs="Tahoma"/>
                            <w:color w:val="333333"/>
                            <w:spacing w:val="15"/>
                            <w:sz w:val="20"/>
                            <w:szCs w:val="20"/>
                            <w:bdr w:val="none" w:sz="0" w:space="0" w:color="auto" w:frame="1"/>
                            <w:lang w:eastAsia="pt-BR"/>
                          </w:rPr>
                          <w:t xml:space="preserve">Ajuste </w:t>
                        </w:r>
                        <w:proofErr w:type="spellStart"/>
                        <w:r w:rsidRPr="00B563E5">
                          <w:rPr>
                            <w:rFonts w:ascii="Tahoma" w:eastAsia="Times New Roman" w:hAnsi="Tahoma" w:cs="Tahoma"/>
                            <w:color w:val="333333"/>
                            <w:spacing w:val="15"/>
                            <w:sz w:val="20"/>
                            <w:szCs w:val="20"/>
                            <w:bdr w:val="none" w:sz="0" w:space="0" w:color="auto" w:frame="1"/>
                            <w:lang w:eastAsia="pt-BR"/>
                          </w:rPr>
                          <w:t>Sinief</w:t>
                        </w:r>
                        <w:proofErr w:type="spellEnd"/>
                        <w:r w:rsidRPr="00B563E5">
                          <w:rPr>
                            <w:rFonts w:ascii="Tahoma" w:eastAsia="Times New Roman" w:hAnsi="Tahoma" w:cs="Tahoma"/>
                            <w:color w:val="333333"/>
                            <w:spacing w:val="15"/>
                            <w:sz w:val="20"/>
                            <w:szCs w:val="20"/>
                            <w:bdr w:val="none" w:sz="0" w:space="0" w:color="auto" w:frame="1"/>
                            <w:lang w:eastAsia="pt-BR"/>
                          </w:rPr>
                          <w:t xml:space="preserve"> nº </w:t>
                        </w:r>
                        <w:hyperlink r:id="rId25" w:anchor="fe+ajuste+sinief+3+2010" w:tgtFrame="_parent" w:history="1">
                          <w:r w:rsidRPr="00B563E5">
                            <w:rPr>
                              <w:rFonts w:ascii="Verdana" w:eastAsia="Times New Roman" w:hAnsi="Verdana" w:cs="Tahoma"/>
                              <w:b/>
                              <w:bCs/>
                              <w:color w:val="333333"/>
                              <w:spacing w:val="15"/>
                              <w:sz w:val="20"/>
                              <w:szCs w:val="20"/>
                              <w:u w:val="single"/>
                              <w:bdr w:val="none" w:sz="0" w:space="0" w:color="auto" w:frame="1"/>
                              <w:lang w:eastAsia="pt-BR"/>
                            </w:rPr>
                            <w:t>3/2010</w:t>
                          </w:r>
                        </w:hyperlink>
                        <w:proofErr w:type="gramStart"/>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lastRenderedPageBreak/>
                          <w:t>Outras regras a serem executadas somente nas operações de saídas:</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ICMS Normal:</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a) se os dois últimos dígitos deste campo forem iguais a 30, 40, 41, 50, ou 60, então os valores dos campos</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VL_BC_ICMS, ALIQ_ICMS e VL_ICMS deverão ser iguais a "0" (zero);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b) se os dois últimos dígitos deste campo forem diferentes de 30, 40, 41, 50, e 60, então os valores dos campos VL_BC_ICMS, ALIQ_ICMS e VL_ICMS deverão ser maiores que "0" (zero);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c) se os dois últimos dígitos deste campo forem iguais a 20, 51 ou 90, então os valores dos campos VL_BC_ICMS, ALIQ_ICMS e VL_ICMS deverão ser maiores ou iguais a "0" (zero).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ICMS ST:</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a) se os dois últimos caracteres deste campo forem 10, 30 ou 70, os valores dos campos VL_BC_ST, ALIQ_ST</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e VL_ICMS_ST deverão ser maiores ou iguais a "0" (zero).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b) se os dois últimos caracteres deste campo forem diferentes de 10, 30 ou 70, os valores dos campos VL_BC_ST, ALIQ_ST e VL_ICMS_ST deverão </w:t>
                        </w:r>
                        <w:proofErr w:type="gramStart"/>
                        <w:r w:rsidRPr="00B563E5">
                          <w:rPr>
                            <w:rFonts w:ascii="Tahoma" w:eastAsia="Times New Roman" w:hAnsi="Tahoma" w:cs="Tahoma"/>
                            <w:color w:val="000000"/>
                            <w:spacing w:val="15"/>
                            <w:sz w:val="18"/>
                            <w:szCs w:val="18"/>
                            <w:bdr w:val="none" w:sz="0" w:space="0" w:color="auto" w:frame="1"/>
                            <w:lang w:eastAsia="pt-BR"/>
                          </w:rPr>
                          <w:t>ser</w:t>
                        </w:r>
                        <w:proofErr w:type="gramEnd"/>
                        <w:r w:rsidRPr="00B563E5">
                          <w:rPr>
                            <w:rFonts w:ascii="Tahoma" w:eastAsia="Times New Roman" w:hAnsi="Tahoma" w:cs="Tahoma"/>
                            <w:color w:val="000000"/>
                            <w:spacing w:val="15"/>
                            <w:sz w:val="18"/>
                            <w:szCs w:val="18"/>
                            <w:bdr w:val="none" w:sz="0" w:space="0" w:color="auto" w:frame="1"/>
                            <w:lang w:eastAsia="pt-BR"/>
                          </w:rPr>
                          <w:t xml:space="preserve"> iguais a "0" (zero).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11 (CFOP) - Preenchimento: nas operações de entradas, devem ser registrados os códigos de operação que correspondem ao tratamento tributário relativo à destinação do item.</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Validação: o valor informado no campo deve existir na Tabela de Código Fiscal de Operação e Prestação, conforme </w:t>
                        </w:r>
                        <w:r w:rsidRPr="00B563E5">
                          <w:rPr>
                            <w:rFonts w:ascii="Tahoma" w:eastAsia="Times New Roman" w:hAnsi="Tahoma" w:cs="Tahoma"/>
                            <w:color w:val="333333"/>
                            <w:spacing w:val="15"/>
                            <w:sz w:val="20"/>
                            <w:szCs w:val="20"/>
                            <w:bdr w:val="none" w:sz="0" w:space="0" w:color="auto" w:frame="1"/>
                            <w:lang w:eastAsia="pt-BR"/>
                          </w:rPr>
                          <w:t xml:space="preserve">Ajuste </w:t>
                        </w:r>
                        <w:proofErr w:type="spellStart"/>
                        <w:r w:rsidRPr="00B563E5">
                          <w:rPr>
                            <w:rFonts w:ascii="Tahoma" w:eastAsia="Times New Roman" w:hAnsi="Tahoma" w:cs="Tahoma"/>
                            <w:color w:val="333333"/>
                            <w:spacing w:val="15"/>
                            <w:sz w:val="20"/>
                            <w:szCs w:val="20"/>
                            <w:bdr w:val="none" w:sz="0" w:space="0" w:color="auto" w:frame="1"/>
                            <w:lang w:eastAsia="pt-BR"/>
                          </w:rPr>
                          <w:t>Sinief</w:t>
                        </w:r>
                        <w:proofErr w:type="spellEnd"/>
                        <w:r w:rsidRPr="00B563E5">
                          <w:rPr>
                            <w:rFonts w:ascii="Tahoma" w:eastAsia="Times New Roman" w:hAnsi="Tahoma" w:cs="Tahoma"/>
                            <w:color w:val="333333"/>
                            <w:spacing w:val="15"/>
                            <w:sz w:val="20"/>
                            <w:szCs w:val="20"/>
                            <w:bdr w:val="none" w:sz="0" w:space="0" w:color="auto" w:frame="1"/>
                            <w:lang w:eastAsia="pt-BR"/>
                          </w:rPr>
                          <w:t xml:space="preserve"> nº </w:t>
                        </w:r>
                        <w:hyperlink r:id="rId26" w:anchor="fe+ajuste+sinief+7+2001" w:tgtFrame="_parent" w:history="1">
                          <w:r w:rsidRPr="00B563E5">
                            <w:rPr>
                              <w:rFonts w:ascii="Verdana" w:eastAsia="Times New Roman" w:hAnsi="Verdana" w:cs="Tahoma"/>
                              <w:b/>
                              <w:bCs/>
                              <w:color w:val="333333"/>
                              <w:spacing w:val="15"/>
                              <w:sz w:val="20"/>
                              <w:szCs w:val="20"/>
                              <w:u w:val="single"/>
                              <w:bdr w:val="none" w:sz="0" w:space="0" w:color="auto" w:frame="1"/>
                              <w:lang w:eastAsia="pt-BR"/>
                            </w:rPr>
                            <w:t>7/2001</w:t>
                          </w:r>
                        </w:hyperlink>
                        <w:proofErr w:type="gramStart"/>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Se o campo IND_OPER do registro C100 for igual a "0" (zero), então o primeiro caractere do CFOP deve ser igual a 1, 2 ou 3. Se campo IND_OPER do registro C100 for igual a "1" (um), então o primeiro caractere do CFOP deve ser igual a 5, 6 ou </w:t>
                        </w:r>
                        <w:proofErr w:type="gramStart"/>
                        <w:r w:rsidRPr="00B563E5">
                          <w:rPr>
                            <w:rFonts w:ascii="Tahoma" w:eastAsia="Times New Roman" w:hAnsi="Tahoma" w:cs="Tahoma"/>
                            <w:color w:val="000000"/>
                            <w:spacing w:val="15"/>
                            <w:sz w:val="18"/>
                            <w:szCs w:val="18"/>
                            <w:bdr w:val="none" w:sz="0" w:space="0" w:color="auto" w:frame="1"/>
                            <w:lang w:eastAsia="pt-BR"/>
                          </w:rPr>
                          <w:t>7</w:t>
                        </w:r>
                        <w:proofErr w:type="gramEnd"/>
                        <w:r w:rsidRPr="00B563E5">
                          <w:rPr>
                            <w:rFonts w:ascii="Tahoma" w:eastAsia="Times New Roman" w:hAnsi="Tahoma" w:cs="Tahoma"/>
                            <w:color w:val="000000"/>
                            <w:spacing w:val="15"/>
                            <w:sz w:val="18"/>
                            <w:szCs w:val="18"/>
                            <w:bdr w:val="none" w:sz="0" w:space="0" w:color="auto" w:frame="1"/>
                            <w:lang w:eastAsia="pt-BR"/>
                          </w:rPr>
                          <w:t>.</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O primeiro caractere deve ser o mesmo para todos os itens de um documento fiscal.</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lastRenderedPageBreak/>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 xml:space="preserve">Campo 12 (COD_NAT) - Validação: o valor informado no campo deve existir no registro 0400 </w:t>
                        </w:r>
                        <w:proofErr w:type="gramStart"/>
                        <w:r w:rsidRPr="00B563E5">
                          <w:rPr>
                            <w:rFonts w:ascii="Tahoma" w:eastAsia="Times New Roman" w:hAnsi="Tahoma" w:cs="Tahoma"/>
                            <w:color w:val="000000"/>
                            <w:spacing w:val="15"/>
                            <w:sz w:val="18"/>
                            <w:szCs w:val="18"/>
                            <w:bdr w:val="none" w:sz="0" w:space="0" w:color="auto" w:frame="1"/>
                            <w:lang w:eastAsia="pt-BR"/>
                          </w:rPr>
                          <w:t>-Tabela</w:t>
                        </w:r>
                        <w:proofErr w:type="gramEnd"/>
                        <w:r w:rsidRPr="00B563E5">
                          <w:rPr>
                            <w:rFonts w:ascii="Tahoma" w:eastAsia="Times New Roman" w:hAnsi="Tahoma" w:cs="Tahoma"/>
                            <w:color w:val="000000"/>
                            <w:spacing w:val="15"/>
                            <w:sz w:val="18"/>
                            <w:szCs w:val="18"/>
                            <w:bdr w:val="none" w:sz="0" w:space="0" w:color="auto" w:frame="1"/>
                            <w:lang w:eastAsia="pt-BR"/>
                          </w:rPr>
                          <w:t xml:space="preserve"> de Natureza da Operação.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14 (ALIQ_ICMS) - Validação: nas operações de saídas, se os dois últimos caracteres do CST_ICMS forem 00, 10, 20 ou 70, o campo ALIQ_ICMS deve ser maior que "0" (zero).</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19 (IND_APUR) - Valores válidos: [0, 1</w:t>
                        </w:r>
                        <w:proofErr w:type="gramStart"/>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Preenchimento: informar o período de apuração do IPI (0-Mensal ou 1-Decendial). Este campo servirá para identificar quais documentos serão considerados em cada apuração do IPI para períodos distintos no mesmo mês, nos casos em que um mesmo contribuinte esteja submetido simultaneamente a mais de uma apuração.</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20 (CST_IPI) - Preenchimento: o campo deverá ser preenchido somente se o declarante for contribuinte do IPI. A tabela do CST_IPI consta publicada na </w:t>
                        </w:r>
                        <w:r w:rsidRPr="00B563E5">
                          <w:rPr>
                            <w:rFonts w:ascii="Tahoma" w:eastAsia="Times New Roman" w:hAnsi="Tahoma" w:cs="Tahoma"/>
                            <w:color w:val="333333"/>
                            <w:spacing w:val="15"/>
                            <w:sz w:val="20"/>
                            <w:szCs w:val="20"/>
                            <w:bdr w:val="none" w:sz="0" w:space="0" w:color="auto" w:frame="1"/>
                            <w:lang w:eastAsia="pt-BR"/>
                          </w:rPr>
                          <w:t>Instrução Normativa RFB nº </w:t>
                        </w:r>
                        <w:hyperlink r:id="rId27" w:anchor="fe+in+rfb+1009+2010" w:tgtFrame="_parent" w:history="1">
                          <w:r w:rsidRPr="00B563E5">
                            <w:rPr>
                              <w:rFonts w:ascii="Verdana" w:eastAsia="Times New Roman" w:hAnsi="Verdana" w:cs="Tahoma"/>
                              <w:b/>
                              <w:bCs/>
                              <w:color w:val="333333"/>
                              <w:spacing w:val="15"/>
                              <w:sz w:val="20"/>
                              <w:szCs w:val="20"/>
                              <w:u w:val="single"/>
                              <w:bdr w:val="none" w:sz="0" w:space="0" w:color="auto" w:frame="1"/>
                              <w:lang w:eastAsia="pt-BR"/>
                            </w:rPr>
                            <w:t>1.009/2010</w:t>
                          </w:r>
                        </w:hyperlink>
                        <w:proofErr w:type="gramStart"/>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br/>
                        </w:r>
                        <w:r>
                          <w:rPr>
                            <w:rFonts w:ascii="Tahoma" w:eastAsia="Times New Roman" w:hAnsi="Tahoma" w:cs="Tahoma"/>
                            <w:noProof/>
                            <w:color w:val="000000"/>
                            <w:spacing w:val="15"/>
                            <w:sz w:val="18"/>
                            <w:szCs w:val="18"/>
                            <w:bdr w:val="none" w:sz="0" w:space="0" w:color="auto" w:frame="1"/>
                            <w:lang w:eastAsia="pt-BR"/>
                          </w:rPr>
                          <w:lastRenderedPageBreak/>
                          <w:drawing>
                            <wp:inline distT="0" distB="0" distL="0" distR="0" wp14:anchorId="52A3BC1C" wp14:editId="6E746439">
                              <wp:extent cx="3703320" cy="2773680"/>
                              <wp:effectExtent l="0" t="0" r="0" b="7620"/>
                              <wp:docPr id="5" name="Imagem 5" descr="https://www.iobonline.com.br/Repository/ServContent?guid=PCICPR-06025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Repository/ServContent?guid=PCICPR-06025_image006-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2773680"/>
                                      </a:xfrm>
                                      <a:prstGeom prst="rect">
                                        <a:avLst/>
                                      </a:prstGeom>
                                      <a:noFill/>
                                      <a:ln>
                                        <a:noFill/>
                                      </a:ln>
                                    </pic:spPr>
                                  </pic:pic>
                                </a:graphicData>
                              </a:graphic>
                            </wp:inline>
                          </w:drawing>
                        </w:r>
                        <w:r w:rsidRPr="00B563E5">
                          <w:rPr>
                            <w:rFonts w:ascii="Tahoma" w:eastAsia="Times New Roman" w:hAnsi="Tahoma" w:cs="Tahoma"/>
                            <w:color w:val="000000"/>
                            <w:spacing w:val="15"/>
                            <w:sz w:val="18"/>
                            <w:szCs w:val="18"/>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21 (COD_ENQ) - Não preencher.</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22 (VL_BC_IPI) - Preenchimento: O frete e despesas acessórias, quando destacados no documento fiscal, devem ser rateados por item de mercadoria e compõem a base de cálculo do IPI.</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23 (ALIQ_IPI) - Preenchimento: preencher com a alíquota do IPI estabelecida na </w:t>
                        </w:r>
                        <w:hyperlink r:id="rId29" w:anchor="fe+d+8950+2016" w:tgtFrame="_parent" w:history="1">
                          <w:r w:rsidRPr="00B563E5">
                            <w:rPr>
                              <w:rFonts w:ascii="Verdana" w:eastAsia="Times New Roman" w:hAnsi="Verdana" w:cs="Tahoma"/>
                              <w:b/>
                              <w:bCs/>
                              <w:color w:val="333333"/>
                              <w:spacing w:val="15"/>
                              <w:sz w:val="20"/>
                              <w:szCs w:val="20"/>
                              <w:u w:val="single"/>
                              <w:bdr w:val="none" w:sz="0" w:space="0" w:color="auto" w:frame="1"/>
                              <w:lang w:eastAsia="pt-BR"/>
                            </w:rPr>
                            <w:t>TIPI</w:t>
                          </w:r>
                        </w:hyperlink>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e NÃO preencher, quando a forma de tributação do IPI for fixada em reais e calculada por unidade ou por determinada quantidade de produto.</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24 (VL_IPI) - Preenchimento: Deverão ser destacados e informados neste campo todos os débitos e/ou créditos de IPI da operação. Esses valores serão totalizados para o registro C190, na combinação de CST_ICMS + CFOP + ALIQ_ICMS, bem como, comparados com o total informado no registro C100.</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25 (CST_PIS) - Validação: o valor deve constar da Tabela de Código da Situação Tributária referente ao PIS, constante da Instrução Normativa RFB nº </w:t>
                        </w:r>
                        <w:hyperlink r:id="rId30" w:anchor="fe+in+rfb+1009+2010" w:tgtFrame="_parent" w:history="1">
                          <w:r w:rsidRPr="00B563E5">
                            <w:rPr>
                              <w:rFonts w:ascii="Verdana" w:eastAsia="Times New Roman" w:hAnsi="Verdana" w:cs="Tahoma"/>
                              <w:b/>
                              <w:bCs/>
                              <w:color w:val="333333"/>
                              <w:spacing w:val="15"/>
                              <w:sz w:val="20"/>
                              <w:szCs w:val="20"/>
                              <w:u w:val="single"/>
                              <w:bdr w:val="none" w:sz="0" w:space="0" w:color="auto" w:frame="1"/>
                              <w:lang w:eastAsia="pt-BR"/>
                            </w:rPr>
                            <w:t>1.009/2010</w:t>
                          </w:r>
                        </w:hyperlink>
                        <w:r w:rsidRPr="00B563E5">
                          <w:rPr>
                            <w:rFonts w:ascii="Tahoma" w:eastAsia="Times New Roman" w:hAnsi="Tahoma" w:cs="Tahoma"/>
                            <w:color w:val="000000"/>
                            <w:spacing w:val="15"/>
                            <w:sz w:val="18"/>
                            <w:szCs w:val="18"/>
                            <w:bdr w:val="none" w:sz="0" w:space="0" w:color="auto" w:frame="1"/>
                            <w:lang w:eastAsia="pt-BR"/>
                          </w:rPr>
                          <w:t> (Tabela II).</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Observação: Nos casos de regime cumulativo na apuração do PIS ou COFINS os campos 25 a 36 podem ser informados como campos de conteúdo VAZIO, ou seja, "||</w:t>
                        </w:r>
                        <w:proofErr w:type="gramStart"/>
                        <w:r w:rsidRPr="00B563E5">
                          <w:rPr>
                            <w:rFonts w:ascii="Tahoma" w:eastAsia="Times New Roman" w:hAnsi="Tahoma" w:cs="Tahoma"/>
                            <w:color w:val="000000"/>
                            <w:spacing w:val="15"/>
                            <w:sz w:val="18"/>
                            <w:szCs w:val="18"/>
                            <w:bdr w:val="none" w:sz="0" w:space="0" w:color="auto" w:frame="1"/>
                            <w:lang w:eastAsia="pt-BR"/>
                          </w:rPr>
                          <w:t>".</w:t>
                        </w:r>
                        <w:proofErr w:type="gramEnd"/>
                        <w:r w:rsidRPr="00B563E5">
                          <w:rPr>
                            <w:rFonts w:ascii="Tahoma" w:eastAsia="Times New Roman" w:hAnsi="Tahoma" w:cs="Tahoma"/>
                            <w:color w:val="000000"/>
                            <w:spacing w:val="15"/>
                            <w:sz w:val="18"/>
                            <w:szCs w:val="18"/>
                            <w:bdr w:val="none" w:sz="0" w:space="0" w:color="auto" w:frame="1"/>
                            <w:lang w:eastAsia="pt-BR"/>
                          </w:rPr>
                          <w:t>Os contribuintes que entregarem a EFD-Contribuições relativa ao mesmo período de apuração do registro 0000 estão dispensados do preenchimento deste campo. Apresentar conteúdo vazio "II".</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br/>
                        </w:r>
                        <w:r>
                          <w:rPr>
                            <w:rFonts w:ascii="Tahoma" w:eastAsia="Times New Roman" w:hAnsi="Tahoma" w:cs="Tahoma"/>
                            <w:noProof/>
                            <w:color w:val="000000"/>
                            <w:spacing w:val="15"/>
                            <w:sz w:val="18"/>
                            <w:szCs w:val="18"/>
                            <w:bdr w:val="none" w:sz="0" w:space="0" w:color="auto" w:frame="1"/>
                            <w:lang w:eastAsia="pt-BR"/>
                          </w:rPr>
                          <w:drawing>
                            <wp:inline distT="0" distB="0" distL="0" distR="0" wp14:anchorId="0235C7B0" wp14:editId="643A4A7B">
                              <wp:extent cx="5097780" cy="1272540"/>
                              <wp:effectExtent l="0" t="0" r="7620" b="3810"/>
                              <wp:docPr id="4" name="Imagem 4" descr="https://www.iobonline.com.br/Repository/ServContent?guid=PCICPR-06025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Repository/ServContent?guid=PCICPR-06025_image008-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7780" cy="1272540"/>
                                      </a:xfrm>
                                      <a:prstGeom prst="rect">
                                        <a:avLst/>
                                      </a:prstGeom>
                                      <a:noFill/>
                                      <a:ln>
                                        <a:noFill/>
                                      </a:ln>
                                    </pic:spPr>
                                  </pic:pic>
                                </a:graphicData>
                              </a:graphic>
                            </wp:inline>
                          </w:drawing>
                        </w:r>
                        <w:r w:rsidRPr="00B563E5">
                          <w:rPr>
                            <w:rFonts w:ascii="Tahoma" w:eastAsia="Times New Roman" w:hAnsi="Tahoma" w:cs="Tahoma"/>
                            <w:color w:val="000000"/>
                            <w:spacing w:val="15"/>
                            <w:sz w:val="18"/>
                            <w:szCs w:val="18"/>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A partir de </w:t>
                        </w:r>
                        <w:proofErr w:type="gramStart"/>
                        <w:r w:rsidRPr="00B563E5">
                          <w:rPr>
                            <w:rFonts w:ascii="Tahoma" w:eastAsia="Times New Roman" w:hAnsi="Tahoma" w:cs="Tahoma"/>
                            <w:color w:val="000000"/>
                            <w:spacing w:val="15"/>
                            <w:sz w:val="18"/>
                            <w:szCs w:val="18"/>
                            <w:bdr w:val="none" w:sz="0" w:space="0" w:color="auto" w:frame="1"/>
                            <w:lang w:eastAsia="pt-BR"/>
                          </w:rPr>
                          <w:t>1º.</w:t>
                        </w:r>
                        <w:proofErr w:type="gramEnd"/>
                        <w:r w:rsidRPr="00B563E5">
                          <w:rPr>
                            <w:rFonts w:ascii="Tahoma" w:eastAsia="Times New Roman" w:hAnsi="Tahoma" w:cs="Tahoma"/>
                            <w:color w:val="000000"/>
                            <w:spacing w:val="15"/>
                            <w:sz w:val="18"/>
                            <w:szCs w:val="18"/>
                            <w:bdr w:val="none" w:sz="0" w:space="0" w:color="auto" w:frame="1"/>
                            <w:lang w:eastAsia="pt-BR"/>
                          </w:rPr>
                          <w:t>04.2010: Instrução Normativa RFB nº </w:t>
                        </w:r>
                        <w:hyperlink r:id="rId32" w:anchor="fe+in+rfb+1009+2010" w:tgtFrame="_parent" w:history="1">
                          <w:r w:rsidRPr="00B563E5">
                            <w:rPr>
                              <w:rFonts w:ascii="Verdana" w:eastAsia="Times New Roman" w:hAnsi="Verdana" w:cs="Tahoma"/>
                              <w:b/>
                              <w:bCs/>
                              <w:color w:val="333333"/>
                              <w:spacing w:val="15"/>
                              <w:sz w:val="20"/>
                              <w:szCs w:val="20"/>
                              <w:u w:val="single"/>
                              <w:bdr w:val="none" w:sz="0" w:space="0" w:color="auto" w:frame="1"/>
                              <w:lang w:eastAsia="pt-BR"/>
                            </w:rPr>
                            <w:t>1.009/2010</w:t>
                          </w:r>
                        </w:hyperlink>
                        <w:r w:rsidRPr="00B563E5">
                          <w:rPr>
                            <w:rFonts w:ascii="Tahoma" w:eastAsia="Times New Roman" w:hAnsi="Tahoma" w:cs="Tahoma"/>
                            <w:color w:val="000000"/>
                            <w:spacing w:val="15"/>
                            <w:sz w:val="18"/>
                            <w:szCs w:val="18"/>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br/>
                        </w:r>
                        <w:r>
                          <w:rPr>
                            <w:rFonts w:ascii="Tahoma" w:eastAsia="Times New Roman" w:hAnsi="Tahoma" w:cs="Tahoma"/>
                            <w:noProof/>
                            <w:color w:val="000000"/>
                            <w:spacing w:val="15"/>
                            <w:sz w:val="18"/>
                            <w:szCs w:val="18"/>
                            <w:bdr w:val="none" w:sz="0" w:space="0" w:color="auto" w:frame="1"/>
                            <w:lang w:eastAsia="pt-BR"/>
                          </w:rPr>
                          <w:lastRenderedPageBreak/>
                          <w:drawing>
                            <wp:inline distT="0" distB="0" distL="0" distR="0" wp14:anchorId="2B483C96" wp14:editId="0D490031">
                              <wp:extent cx="5935980" cy="3970020"/>
                              <wp:effectExtent l="0" t="0" r="7620" b="0"/>
                              <wp:docPr id="3" name="Imagem 3" descr="https://www.iobonline.com.br/Repository/ServContent?guid=PCICPR-06025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Repository/ServContent?guid=PCICPR-06025_image010-g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5980" cy="3970020"/>
                                      </a:xfrm>
                                      <a:prstGeom prst="rect">
                                        <a:avLst/>
                                      </a:prstGeom>
                                      <a:noFill/>
                                      <a:ln>
                                        <a:noFill/>
                                      </a:ln>
                                    </pic:spPr>
                                  </pic:pic>
                                </a:graphicData>
                              </a:graphic>
                            </wp:inline>
                          </w:drawing>
                        </w:r>
                        <w:r w:rsidRPr="00B563E5">
                          <w:rPr>
                            <w:rFonts w:ascii="Tahoma" w:eastAsia="Times New Roman" w:hAnsi="Tahoma" w:cs="Tahoma"/>
                            <w:color w:val="000000"/>
                            <w:spacing w:val="15"/>
                            <w:sz w:val="18"/>
                            <w:szCs w:val="18"/>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28 (QUANT_BC_PIS) - Preenchimento: Neste campo deverá ser informada a quantidade de produtos vendidos na unidade de tributação prevista na legislação.</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De acordo com a legislação em vigor em fevereiro/2009, a apuração das contribuições sociais, com base de cálculo determinada sobre a quantidade de produtos vendidos, alcança:</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lastRenderedPageBreak/>
                          <w:br/>
                        </w:r>
                        <w:r w:rsidRPr="00B563E5">
                          <w:rPr>
                            <w:rFonts w:ascii="Tahoma" w:eastAsia="Times New Roman" w:hAnsi="Tahoma" w:cs="Tahoma"/>
                            <w:color w:val="000000"/>
                            <w:spacing w:val="15"/>
                            <w:sz w:val="18"/>
                            <w:szCs w:val="18"/>
                            <w:bdr w:val="none" w:sz="0" w:space="0" w:color="auto" w:frame="1"/>
                            <w:lang w:eastAsia="pt-BR"/>
                          </w:rPr>
                          <w:t xml:space="preserve">1. As receitas decorrentes da venda e da produção sob encomenda de embalagens para bebidas (refrigerantes, cervejas e águas, classificadas nas posições 22.01, 22.02 e 22.03 </w:t>
                        </w:r>
                        <w:proofErr w:type="gramStart"/>
                        <w:r w:rsidRPr="00B563E5">
                          <w:rPr>
                            <w:rFonts w:ascii="Tahoma" w:eastAsia="Times New Roman" w:hAnsi="Tahoma" w:cs="Tahoma"/>
                            <w:color w:val="000000"/>
                            <w:spacing w:val="15"/>
                            <w:sz w:val="18"/>
                            <w:szCs w:val="18"/>
                            <w:bdr w:val="none" w:sz="0" w:space="0" w:color="auto" w:frame="1"/>
                            <w:lang w:eastAsia="pt-BR"/>
                          </w:rPr>
                          <w:t>da TIPI</w:t>
                        </w:r>
                        <w:proofErr w:type="gramEnd"/>
                        <w:r w:rsidRPr="00B563E5">
                          <w:rPr>
                            <w:rFonts w:ascii="Tahoma" w:eastAsia="Times New Roman" w:hAnsi="Tahoma" w:cs="Tahoma"/>
                            <w:color w:val="000000"/>
                            <w:spacing w:val="15"/>
                            <w:sz w:val="18"/>
                            <w:szCs w:val="18"/>
                            <w:bdr w:val="none" w:sz="0" w:space="0" w:color="auto" w:frame="1"/>
                            <w:lang w:eastAsia="pt-BR"/>
                          </w:rPr>
                          <w:t>) pelas pessoas jurídicas industriais ou comerciais e pelos importadores, conforme disposto no art. </w:t>
                        </w:r>
                        <w:hyperlink r:id="rId34" w:anchor="fe+lei+10833+2003@art51" w:tgtFrame="_parent" w:history="1">
                          <w:r w:rsidRPr="00B563E5">
                            <w:rPr>
                              <w:rFonts w:ascii="Verdana" w:eastAsia="Times New Roman" w:hAnsi="Verdana" w:cs="Tahoma"/>
                              <w:b/>
                              <w:bCs/>
                              <w:color w:val="333333"/>
                              <w:spacing w:val="15"/>
                              <w:sz w:val="20"/>
                              <w:szCs w:val="20"/>
                              <w:u w:val="single"/>
                              <w:bdr w:val="none" w:sz="0" w:space="0" w:color="auto" w:frame="1"/>
                              <w:lang w:eastAsia="pt-BR"/>
                            </w:rPr>
                            <w:t>51</w:t>
                          </w:r>
                        </w:hyperlink>
                        <w:r w:rsidRPr="00B563E5">
                          <w:rPr>
                            <w:rFonts w:ascii="Tahoma" w:eastAsia="Times New Roman" w:hAnsi="Tahoma" w:cs="Tahoma"/>
                            <w:color w:val="000000"/>
                            <w:spacing w:val="15"/>
                            <w:sz w:val="18"/>
                            <w:szCs w:val="18"/>
                            <w:bdr w:val="none" w:sz="0" w:space="0" w:color="auto" w:frame="1"/>
                            <w:lang w:eastAsia="pt-BR"/>
                          </w:rPr>
                          <w:t> da </w:t>
                        </w:r>
                        <w:r w:rsidRPr="00B563E5">
                          <w:rPr>
                            <w:rFonts w:ascii="Tahoma" w:eastAsia="Times New Roman" w:hAnsi="Tahoma" w:cs="Tahoma"/>
                            <w:color w:val="333333"/>
                            <w:spacing w:val="15"/>
                            <w:sz w:val="20"/>
                            <w:szCs w:val="20"/>
                            <w:bdr w:val="none" w:sz="0" w:space="0" w:color="auto" w:frame="1"/>
                            <w:lang w:eastAsia="pt-BR"/>
                          </w:rPr>
                          <w:t>Lei nº </w:t>
                        </w:r>
                        <w:hyperlink r:id="rId35" w:anchor="fe+lei+10833+2003"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10.833/2003</w:t>
                          </w:r>
                        </w:hyperlink>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2. As receitas decorrentes da venda de bebidas frias (refrigerantes, cervejas e águas, classificadas nas posições 22.01, 22.02 e 22.03 </w:t>
                        </w:r>
                        <w:proofErr w:type="gramStart"/>
                        <w:r w:rsidRPr="00B563E5">
                          <w:rPr>
                            <w:rFonts w:ascii="Tahoma" w:eastAsia="Times New Roman" w:hAnsi="Tahoma" w:cs="Tahoma"/>
                            <w:color w:val="000000"/>
                            <w:spacing w:val="15"/>
                            <w:sz w:val="18"/>
                            <w:szCs w:val="18"/>
                            <w:bdr w:val="none" w:sz="0" w:space="0" w:color="auto" w:frame="1"/>
                            <w:lang w:eastAsia="pt-BR"/>
                          </w:rPr>
                          <w:t>da TIPI</w:t>
                        </w:r>
                        <w:proofErr w:type="gramEnd"/>
                        <w:r w:rsidRPr="00B563E5">
                          <w:rPr>
                            <w:rFonts w:ascii="Tahoma" w:eastAsia="Times New Roman" w:hAnsi="Tahoma" w:cs="Tahoma"/>
                            <w:color w:val="000000"/>
                            <w:spacing w:val="15"/>
                            <w:sz w:val="18"/>
                            <w:szCs w:val="18"/>
                            <w:bdr w:val="none" w:sz="0" w:space="0" w:color="auto" w:frame="1"/>
                            <w:lang w:eastAsia="pt-BR"/>
                          </w:rPr>
                          <w:t xml:space="preserve">) e preparações compostas classificadas no código 2106.90.10, </w:t>
                        </w:r>
                        <w:proofErr w:type="spellStart"/>
                        <w:r w:rsidRPr="00B563E5">
                          <w:rPr>
                            <w:rFonts w:ascii="Tahoma" w:eastAsia="Times New Roman" w:hAnsi="Tahoma" w:cs="Tahoma"/>
                            <w:color w:val="000000"/>
                            <w:spacing w:val="15"/>
                            <w:sz w:val="18"/>
                            <w:szCs w:val="18"/>
                            <w:bdr w:val="none" w:sz="0" w:space="0" w:color="auto" w:frame="1"/>
                            <w:lang w:eastAsia="pt-BR"/>
                          </w:rPr>
                          <w:t>ex</w:t>
                        </w:r>
                        <w:proofErr w:type="spellEnd"/>
                        <w:r w:rsidRPr="00B563E5">
                          <w:rPr>
                            <w:rFonts w:ascii="Tahoma" w:eastAsia="Times New Roman" w:hAnsi="Tahoma" w:cs="Tahoma"/>
                            <w:color w:val="000000"/>
                            <w:spacing w:val="15"/>
                            <w:sz w:val="18"/>
                            <w:szCs w:val="18"/>
                            <w:bdr w:val="none" w:sz="0" w:space="0" w:color="auto" w:frame="1"/>
                            <w:lang w:eastAsia="pt-BR"/>
                          </w:rPr>
                          <w:t xml:space="preserve"> 02, da </w:t>
                        </w:r>
                        <w:hyperlink r:id="rId36" w:anchor="fe+d+8950+2016" w:tgtFrame="_parent" w:history="1">
                          <w:r w:rsidRPr="00B563E5">
                            <w:rPr>
                              <w:rFonts w:ascii="Verdana" w:eastAsia="Times New Roman" w:hAnsi="Verdana" w:cs="Tahoma"/>
                              <w:b/>
                              <w:bCs/>
                              <w:color w:val="333333"/>
                              <w:spacing w:val="15"/>
                              <w:sz w:val="20"/>
                              <w:szCs w:val="20"/>
                              <w:u w:val="single"/>
                              <w:bdr w:val="none" w:sz="0" w:space="0" w:color="auto" w:frame="1"/>
                              <w:lang w:eastAsia="pt-BR"/>
                            </w:rPr>
                            <w:t>TIPI</w:t>
                          </w:r>
                        </w:hyperlink>
                        <w:r w:rsidRPr="00B563E5">
                          <w:rPr>
                            <w:rFonts w:ascii="Tahoma" w:eastAsia="Times New Roman" w:hAnsi="Tahoma" w:cs="Tahoma"/>
                            <w:color w:val="000000"/>
                            <w:spacing w:val="15"/>
                            <w:sz w:val="18"/>
                            <w:szCs w:val="18"/>
                            <w:bdr w:val="none" w:sz="0" w:space="0" w:color="auto" w:frame="1"/>
                            <w:lang w:eastAsia="pt-BR"/>
                          </w:rPr>
                          <w:t> , pelas pessoas jurídicas industriais e pelos importadores, conforme disposto no art. </w:t>
                        </w:r>
                        <w:hyperlink r:id="rId37" w:anchor="fe+lei+10833+2003@art52" w:tgtFrame="_parent" w:history="1">
                          <w:r w:rsidRPr="00B563E5">
                            <w:rPr>
                              <w:rFonts w:ascii="Verdana" w:eastAsia="Times New Roman" w:hAnsi="Verdana" w:cs="Tahoma"/>
                              <w:b/>
                              <w:bCs/>
                              <w:color w:val="333333"/>
                              <w:spacing w:val="15"/>
                              <w:sz w:val="20"/>
                              <w:szCs w:val="20"/>
                              <w:u w:val="single"/>
                              <w:bdr w:val="none" w:sz="0" w:space="0" w:color="auto" w:frame="1"/>
                              <w:lang w:eastAsia="pt-BR"/>
                            </w:rPr>
                            <w:t>52</w:t>
                          </w:r>
                        </w:hyperlink>
                        <w:r w:rsidRPr="00B563E5">
                          <w:rPr>
                            <w:rFonts w:ascii="Tahoma" w:eastAsia="Times New Roman" w:hAnsi="Tahoma" w:cs="Tahoma"/>
                            <w:color w:val="000000"/>
                            <w:spacing w:val="15"/>
                            <w:sz w:val="18"/>
                            <w:szCs w:val="18"/>
                            <w:bdr w:val="none" w:sz="0" w:space="0" w:color="auto" w:frame="1"/>
                            <w:lang w:eastAsia="pt-BR"/>
                          </w:rPr>
                          <w:t> da Lei nº </w:t>
                        </w:r>
                        <w:hyperlink r:id="rId38" w:anchor="fe+lei+10833+2003"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10.833/2003</w:t>
                          </w:r>
                        </w:hyperlink>
                        <w:r w:rsidRPr="00B563E5">
                          <w:rPr>
                            <w:rFonts w:ascii="Tahoma" w:eastAsia="Times New Roman" w:hAnsi="Tahoma" w:cs="Tahoma"/>
                            <w:color w:val="000000"/>
                            <w:spacing w:val="15"/>
                            <w:sz w:val="18"/>
                            <w:szCs w:val="18"/>
                            <w:bdr w:val="none" w:sz="0" w:space="0" w:color="auto" w:frame="1"/>
                            <w:lang w:eastAsia="pt-BR"/>
                          </w:rPr>
                          <w:t> (fatos geradores até 31.12.2008) e pela </w:t>
                        </w:r>
                        <w:r w:rsidRPr="00B563E5">
                          <w:rPr>
                            <w:rFonts w:ascii="Tahoma" w:eastAsia="Times New Roman" w:hAnsi="Tahoma" w:cs="Tahoma"/>
                            <w:color w:val="333333"/>
                            <w:spacing w:val="15"/>
                            <w:sz w:val="20"/>
                            <w:szCs w:val="20"/>
                            <w:bdr w:val="none" w:sz="0" w:space="0" w:color="auto" w:frame="1"/>
                            <w:lang w:eastAsia="pt-BR"/>
                          </w:rPr>
                          <w:t>Lei nº </w:t>
                        </w:r>
                        <w:hyperlink r:id="rId39" w:anchor="fe+lei+10865+2004"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10.865/2004</w:t>
                          </w:r>
                        </w:hyperlink>
                        <w:r w:rsidRPr="00B563E5">
                          <w:rPr>
                            <w:rFonts w:ascii="Tahoma" w:eastAsia="Times New Roman" w:hAnsi="Tahoma" w:cs="Tahoma"/>
                            <w:color w:val="333333"/>
                            <w:spacing w:val="15"/>
                            <w:sz w:val="20"/>
                            <w:szCs w:val="20"/>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t>;</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 xml:space="preserve">3. As receitas decorrentes da venda de bebidas frias (refrigerantes, cervejas e águas, classificadas nas posições 22.01, 22.02 e 22.03 </w:t>
                        </w:r>
                        <w:proofErr w:type="gramStart"/>
                        <w:r w:rsidRPr="00B563E5">
                          <w:rPr>
                            <w:rFonts w:ascii="Tahoma" w:eastAsia="Times New Roman" w:hAnsi="Tahoma" w:cs="Tahoma"/>
                            <w:color w:val="000000"/>
                            <w:spacing w:val="15"/>
                            <w:sz w:val="18"/>
                            <w:szCs w:val="18"/>
                            <w:bdr w:val="none" w:sz="0" w:space="0" w:color="auto" w:frame="1"/>
                            <w:lang w:eastAsia="pt-BR"/>
                          </w:rPr>
                          <w:t>da TIPI</w:t>
                        </w:r>
                        <w:proofErr w:type="gramEnd"/>
                        <w:r w:rsidRPr="00B563E5">
                          <w:rPr>
                            <w:rFonts w:ascii="Tahoma" w:eastAsia="Times New Roman" w:hAnsi="Tahoma" w:cs="Tahoma"/>
                            <w:color w:val="000000"/>
                            <w:spacing w:val="15"/>
                            <w:sz w:val="18"/>
                            <w:szCs w:val="18"/>
                            <w:bdr w:val="none" w:sz="0" w:space="0" w:color="auto" w:frame="1"/>
                            <w:lang w:eastAsia="pt-BR"/>
                          </w:rPr>
                          <w:t xml:space="preserve">) e preparações compostas classificadas no código 2106.90.10, </w:t>
                        </w:r>
                        <w:proofErr w:type="spellStart"/>
                        <w:r w:rsidRPr="00B563E5">
                          <w:rPr>
                            <w:rFonts w:ascii="Tahoma" w:eastAsia="Times New Roman" w:hAnsi="Tahoma" w:cs="Tahoma"/>
                            <w:color w:val="000000"/>
                            <w:spacing w:val="15"/>
                            <w:sz w:val="18"/>
                            <w:szCs w:val="18"/>
                            <w:bdr w:val="none" w:sz="0" w:space="0" w:color="auto" w:frame="1"/>
                            <w:lang w:eastAsia="pt-BR"/>
                          </w:rPr>
                          <w:t>ex</w:t>
                        </w:r>
                        <w:proofErr w:type="spellEnd"/>
                        <w:r w:rsidRPr="00B563E5">
                          <w:rPr>
                            <w:rFonts w:ascii="Tahoma" w:eastAsia="Times New Roman" w:hAnsi="Tahoma" w:cs="Tahoma"/>
                            <w:color w:val="000000"/>
                            <w:spacing w:val="15"/>
                            <w:sz w:val="18"/>
                            <w:szCs w:val="18"/>
                            <w:bdr w:val="none" w:sz="0" w:space="0" w:color="auto" w:frame="1"/>
                            <w:lang w:eastAsia="pt-BR"/>
                          </w:rPr>
                          <w:t xml:space="preserve"> 02, da </w:t>
                        </w:r>
                        <w:hyperlink r:id="rId40" w:anchor="fe+d+8950+2016" w:tgtFrame="_parent" w:history="1">
                          <w:r w:rsidRPr="00B563E5">
                            <w:rPr>
                              <w:rFonts w:ascii="Verdana" w:eastAsia="Times New Roman" w:hAnsi="Verdana" w:cs="Tahoma"/>
                              <w:b/>
                              <w:bCs/>
                              <w:color w:val="333333"/>
                              <w:spacing w:val="15"/>
                              <w:sz w:val="20"/>
                              <w:szCs w:val="20"/>
                              <w:u w:val="single"/>
                              <w:bdr w:val="none" w:sz="0" w:space="0" w:color="auto" w:frame="1"/>
                              <w:lang w:eastAsia="pt-BR"/>
                            </w:rPr>
                            <w:t>TIPI</w:t>
                          </w:r>
                        </w:hyperlink>
                        <w:r w:rsidRPr="00B563E5">
                          <w:rPr>
                            <w:rFonts w:ascii="Tahoma" w:eastAsia="Times New Roman" w:hAnsi="Tahoma" w:cs="Tahoma"/>
                            <w:color w:val="000000"/>
                            <w:spacing w:val="15"/>
                            <w:sz w:val="18"/>
                            <w:szCs w:val="18"/>
                            <w:bdr w:val="none" w:sz="0" w:space="0" w:color="auto" w:frame="1"/>
                            <w:lang w:eastAsia="pt-BR"/>
                          </w:rPr>
                          <w:t> , pelas pessoas jurídicas industriais e pelos importadores, conforme disposto nos arts. </w:t>
                        </w:r>
                        <w:hyperlink r:id="rId41" w:anchor="fe+lei+10833+2003@art58a" w:tgtFrame="_parent" w:history="1">
                          <w:r w:rsidRPr="00B563E5">
                            <w:rPr>
                              <w:rFonts w:ascii="Verdana" w:eastAsia="Times New Roman" w:hAnsi="Verdana" w:cs="Tahoma"/>
                              <w:b/>
                              <w:bCs/>
                              <w:color w:val="333333"/>
                              <w:spacing w:val="15"/>
                              <w:sz w:val="20"/>
                              <w:szCs w:val="20"/>
                              <w:u w:val="single"/>
                              <w:bdr w:val="none" w:sz="0" w:space="0" w:color="auto" w:frame="1"/>
                              <w:lang w:eastAsia="pt-BR"/>
                            </w:rPr>
                            <w:t>58-A</w:t>
                          </w:r>
                        </w:hyperlink>
                        <w:r w:rsidRPr="00B563E5">
                          <w:rPr>
                            <w:rFonts w:ascii="Tahoma" w:eastAsia="Times New Roman" w:hAnsi="Tahoma" w:cs="Tahoma"/>
                            <w:color w:val="000000"/>
                            <w:spacing w:val="15"/>
                            <w:sz w:val="18"/>
                            <w:szCs w:val="18"/>
                            <w:bdr w:val="none" w:sz="0" w:space="0" w:color="auto" w:frame="1"/>
                            <w:lang w:eastAsia="pt-BR"/>
                          </w:rPr>
                          <w:t> a 58-U2 da Lei nº </w:t>
                        </w:r>
                        <w:hyperlink r:id="rId42" w:anchor="fe+lei+10833+2003"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10.833/2003</w:t>
                          </w:r>
                        </w:hyperlink>
                        <w:r w:rsidRPr="00B563E5">
                          <w:rPr>
                            <w:rFonts w:ascii="Tahoma" w:eastAsia="Times New Roman" w:hAnsi="Tahoma" w:cs="Tahoma"/>
                            <w:color w:val="000000"/>
                            <w:spacing w:val="15"/>
                            <w:sz w:val="18"/>
                            <w:szCs w:val="18"/>
                            <w:bdr w:val="none" w:sz="0" w:space="0" w:color="auto" w:frame="1"/>
                            <w:lang w:eastAsia="pt-BR"/>
                          </w:rPr>
                          <w:t> , incluídos pela lei nº 11.727 (fatos geradores a partir de 1º.01.2009) e pela Lei nº</w:t>
                        </w:r>
                        <w:hyperlink r:id="rId43" w:anchor="fe+lei+10865+2004"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10.865/2004</w:t>
                          </w:r>
                        </w:hyperlink>
                        <w:r w:rsidRPr="00B563E5">
                          <w:rPr>
                            <w:rFonts w:ascii="Tahoma" w:eastAsia="Times New Roman" w:hAnsi="Tahoma" w:cs="Tahoma"/>
                            <w:color w:val="000000"/>
                            <w:spacing w:val="15"/>
                            <w:sz w:val="18"/>
                            <w:szCs w:val="18"/>
                            <w:bdr w:val="none" w:sz="0" w:space="0" w:color="auto" w:frame="1"/>
                            <w:lang w:eastAsia="pt-BR"/>
                          </w:rPr>
                          <w:t> ;</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4. As receitas decorrentes da venda de gasolinas e suas correntes, exceto gasolina de aviação, de óleo diesel e suas correntes, de gás liquefeito de petróleo - GLP, derivado de petróleo e de gás natura e de querosene de aviação, pelas pessoas jurídicas industriais e pelos importadores, conforme disposto no art. </w:t>
                        </w:r>
                        <w:hyperlink r:id="rId44" w:anchor="fe+lei+10865+2004@art23" w:tgtFrame="_parent" w:history="1">
                          <w:r w:rsidRPr="00B563E5">
                            <w:rPr>
                              <w:rFonts w:ascii="Verdana" w:eastAsia="Times New Roman" w:hAnsi="Verdana" w:cs="Tahoma"/>
                              <w:b/>
                              <w:bCs/>
                              <w:color w:val="333333"/>
                              <w:spacing w:val="15"/>
                              <w:sz w:val="20"/>
                              <w:szCs w:val="20"/>
                              <w:u w:val="single"/>
                              <w:bdr w:val="none" w:sz="0" w:space="0" w:color="auto" w:frame="1"/>
                              <w:lang w:eastAsia="pt-BR"/>
                            </w:rPr>
                            <w:t>23</w:t>
                          </w:r>
                        </w:hyperlink>
                        <w:r w:rsidRPr="00B563E5">
                          <w:rPr>
                            <w:rFonts w:ascii="Tahoma" w:eastAsia="Times New Roman" w:hAnsi="Tahoma" w:cs="Tahoma"/>
                            <w:color w:val="000000"/>
                            <w:spacing w:val="15"/>
                            <w:sz w:val="18"/>
                            <w:szCs w:val="18"/>
                            <w:bdr w:val="none" w:sz="0" w:space="0" w:color="auto" w:frame="1"/>
                            <w:lang w:eastAsia="pt-BR"/>
                          </w:rPr>
                          <w:t> da Lei nº </w:t>
                        </w:r>
                        <w:hyperlink r:id="rId45" w:anchor="fe+lei+10865+2004"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10.865/2004</w:t>
                          </w:r>
                        </w:hyperlink>
                        <w:r w:rsidRPr="00B563E5">
                          <w:rPr>
                            <w:rFonts w:ascii="Tahoma" w:eastAsia="Times New Roman" w:hAnsi="Tahoma" w:cs="Tahoma"/>
                            <w:color w:val="000000"/>
                            <w:spacing w:val="15"/>
                            <w:sz w:val="18"/>
                            <w:szCs w:val="18"/>
                            <w:bdr w:val="none" w:sz="0" w:space="0" w:color="auto" w:frame="1"/>
                            <w:lang w:eastAsia="pt-BR"/>
                          </w:rPr>
                          <w:t> e pela Lei nº </w:t>
                        </w:r>
                        <w:hyperlink r:id="rId46" w:anchor="fe+lei+10865+2004" w:tgtFrame="_parent" w:history="1">
                          <w:r w:rsidRPr="00B563E5">
                            <w:rPr>
                              <w:rFonts w:ascii="Verdana" w:eastAsia="Times New Roman" w:hAnsi="Verdana" w:cs="Tahoma"/>
                              <w:b/>
                              <w:bCs/>
                              <w:color w:val="333333"/>
                              <w:spacing w:val="15"/>
                              <w:sz w:val="20"/>
                              <w:szCs w:val="20"/>
                              <w:u w:val="single"/>
                              <w:bdr w:val="none" w:sz="0" w:space="0" w:color="auto" w:frame="1"/>
                              <w:lang w:eastAsia="pt-BR"/>
                            </w:rPr>
                            <w:t>10.865/2004</w:t>
                          </w:r>
                        </w:hyperlink>
                        <w:proofErr w:type="gramStart"/>
                        <w:r w:rsidRPr="00B563E5">
                          <w:rPr>
                            <w:rFonts w:ascii="Tahoma" w:eastAsia="Times New Roman" w:hAnsi="Tahoma" w:cs="Tahoma"/>
                            <w:color w:val="000000"/>
                            <w:spacing w:val="15"/>
                            <w:sz w:val="18"/>
                            <w:szCs w:val="18"/>
                            <w:bdr w:val="none" w:sz="0" w:space="0" w:color="auto" w:frame="1"/>
                            <w:lang w:eastAsia="pt-BR"/>
                          </w:rPr>
                          <w:t> .</w:t>
                        </w:r>
                        <w:proofErr w:type="gramEnd"/>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t>Os contribuintes que entregarem a EFD-Contribuições relativa ao mesmo período de apuração do registro 0000 estão dispensados do preenchimento deste campo. Apresentar conteúdo vazio "II".</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31 (CST_COFINS) - Validação: o valor deve constar da Tabela de Código da Situação Tributária referente ao COFINS, constante da Instrução Normativa RFB nº </w:t>
                        </w:r>
                        <w:hyperlink r:id="rId47" w:anchor="fe+in+rfb+1009+2010" w:tgtFrame="_parent" w:history="1">
                          <w:r w:rsidRPr="00B563E5">
                            <w:rPr>
                              <w:rFonts w:ascii="Verdana" w:eastAsia="Times New Roman" w:hAnsi="Verdana" w:cs="Tahoma"/>
                              <w:b/>
                              <w:bCs/>
                              <w:color w:val="333333"/>
                              <w:spacing w:val="15"/>
                              <w:sz w:val="20"/>
                              <w:szCs w:val="20"/>
                              <w:u w:val="single"/>
                              <w:bdr w:val="none" w:sz="0" w:space="0" w:color="auto" w:frame="1"/>
                              <w:lang w:eastAsia="pt-BR"/>
                            </w:rPr>
                            <w:t>1.009/2010</w:t>
                          </w:r>
                        </w:hyperlink>
                        <w:r w:rsidRPr="00B563E5">
                          <w:rPr>
                            <w:rFonts w:ascii="Tahoma" w:eastAsia="Times New Roman" w:hAnsi="Tahoma" w:cs="Tahoma"/>
                            <w:color w:val="000000"/>
                            <w:spacing w:val="15"/>
                            <w:sz w:val="18"/>
                            <w:szCs w:val="18"/>
                            <w:bdr w:val="none" w:sz="0" w:space="0" w:color="auto" w:frame="1"/>
                            <w:lang w:eastAsia="pt-BR"/>
                          </w:rPr>
                          <w:t> (Tabela II).</w:t>
                        </w:r>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r w:rsidRPr="00B563E5">
                          <w:rPr>
                            <w:rFonts w:ascii="Tahoma" w:eastAsia="Times New Roman" w:hAnsi="Tahoma" w:cs="Tahoma"/>
                            <w:color w:val="000000"/>
                            <w:spacing w:val="15"/>
                            <w:sz w:val="18"/>
                            <w:szCs w:val="18"/>
                            <w:bdr w:val="none" w:sz="0" w:space="0" w:color="auto" w:frame="1"/>
                            <w:lang w:eastAsia="pt-BR"/>
                          </w:rPr>
                          <w:br/>
                        </w:r>
                        <w:r>
                          <w:rPr>
                            <w:rFonts w:ascii="Tahoma" w:eastAsia="Times New Roman" w:hAnsi="Tahoma" w:cs="Tahoma"/>
                            <w:noProof/>
                            <w:color w:val="000000"/>
                            <w:spacing w:val="15"/>
                            <w:sz w:val="18"/>
                            <w:szCs w:val="18"/>
                            <w:bdr w:val="none" w:sz="0" w:space="0" w:color="auto" w:frame="1"/>
                            <w:lang w:eastAsia="pt-BR"/>
                          </w:rPr>
                          <w:lastRenderedPageBreak/>
                          <w:drawing>
                            <wp:inline distT="0" distB="0" distL="0" distR="0" wp14:anchorId="44990608" wp14:editId="3D893D85">
                              <wp:extent cx="5943600" cy="3970020"/>
                              <wp:effectExtent l="0" t="0" r="0" b="0"/>
                              <wp:docPr id="2" name="Imagem 2" descr="https://www.iobonline.com.br/Repository/ServContent?guid=PCICPR-06025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Repository/ServContent?guid=PCICPR-06025_image012-g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r w:rsidRPr="00B563E5">
                          <w:rPr>
                            <w:rFonts w:ascii="Tahoma" w:eastAsia="Times New Roman" w:hAnsi="Tahoma" w:cs="Tahoma"/>
                            <w:color w:val="000000"/>
                            <w:spacing w:val="15"/>
                            <w:sz w:val="18"/>
                            <w:szCs w:val="18"/>
                            <w:bdr w:val="none" w:sz="0" w:space="0" w:color="auto" w:frame="1"/>
                            <w:lang w:eastAsia="pt-BR"/>
                          </w:rPr>
                          <w:t> </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Os contribuintes que entregarem a EFD-</w:t>
                        </w:r>
                        <w:proofErr w:type="gramStart"/>
                        <w:r w:rsidRPr="00B563E5">
                          <w:rPr>
                            <w:rFonts w:ascii="Tahoma" w:eastAsia="Times New Roman" w:hAnsi="Tahoma" w:cs="Tahoma"/>
                            <w:color w:val="000000"/>
                            <w:spacing w:val="15"/>
                            <w:sz w:val="18"/>
                            <w:szCs w:val="18"/>
                            <w:bdr w:val="none" w:sz="0" w:space="0" w:color="auto" w:frame="1"/>
                            <w:lang w:eastAsia="pt-BR"/>
                          </w:rPr>
                          <w:t>Contribuições relativa</w:t>
                        </w:r>
                        <w:proofErr w:type="gramEnd"/>
                        <w:r w:rsidRPr="00B563E5">
                          <w:rPr>
                            <w:rFonts w:ascii="Tahoma" w:eastAsia="Times New Roman" w:hAnsi="Tahoma" w:cs="Tahoma"/>
                            <w:color w:val="000000"/>
                            <w:spacing w:val="15"/>
                            <w:sz w:val="18"/>
                            <w:szCs w:val="18"/>
                            <w:bdr w:val="none" w:sz="0" w:space="0" w:color="auto" w:frame="1"/>
                            <w:lang w:eastAsia="pt-BR"/>
                          </w:rPr>
                          <w:t xml:space="preserve"> ao mesmo período de apuração do registro 0000 estão dispensados do preenchimento deste campo. Apresentar conteúdo vazio "II".</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lastRenderedPageBreak/>
                          <w:t>Campo 34 (QUANT_BC_COFINS) - Preenchimento: Idem campo 28.</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8"/>
                            <w:szCs w:val="18"/>
                            <w:bdr w:val="none" w:sz="0" w:space="0" w:color="auto" w:frame="1"/>
                            <w:lang w:eastAsia="pt-BR"/>
                          </w:rPr>
                          <w:t>Campo 37 (COD_CTA) - Preenchimento: informar o Código da Conta Analítica. Exemplos: estoques, receitas, despesas, ativos. Deve ser a conta credora ou devedora principal, podendo ser informada a conta sintética (nível acima da conta analítica).</w:t>
                        </w:r>
                        <w:proofErr w:type="gramStart"/>
                        <w:r w:rsidRPr="00B563E5">
                          <w:rPr>
                            <w:rFonts w:ascii="Tahoma" w:eastAsia="Times New Roman" w:hAnsi="Tahoma" w:cs="Tahoma"/>
                            <w:color w:val="000000"/>
                            <w:spacing w:val="15"/>
                            <w:sz w:val="18"/>
                            <w:szCs w:val="18"/>
                            <w:bdr w:val="none" w:sz="0" w:space="0" w:color="auto" w:frame="1"/>
                            <w:lang w:eastAsia="pt-BR"/>
                          </w:rPr>
                          <w:br/>
                        </w:r>
                        <w:r w:rsidRPr="00B563E5">
                          <w:rPr>
                            <w:rFonts w:ascii="Times New Roman" w:eastAsia="Times New Roman" w:hAnsi="Times New Roman" w:cs="Times New Roman"/>
                            <w:sz w:val="24"/>
                            <w:szCs w:val="24"/>
                            <w:lang w:eastAsia="pt-BR"/>
                          </w:rPr>
                          <w:br/>
                        </w:r>
                        <w:proofErr w:type="gramEnd"/>
                        <w:r w:rsidRPr="00B563E5">
                          <w:rPr>
                            <w:rFonts w:ascii="Times New Roman" w:eastAsia="Times New Roman" w:hAnsi="Times New Roman" w:cs="Times New Roman"/>
                            <w:sz w:val="24"/>
                            <w:szCs w:val="24"/>
                            <w:lang w:eastAsia="pt-BR"/>
                          </w:rP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bdr w:val="none" w:sz="0" w:space="0" w:color="auto" w:frame="1"/>
                      <w:lang w:eastAsia="pt-BR"/>
                    </w:rPr>
                    <w:br/>
                  </w:r>
                  <w:r w:rsidRPr="00B563E5">
                    <w:rPr>
                      <w:rFonts w:ascii="Tahoma" w:eastAsia="Times New Roman" w:hAnsi="Tahoma" w:cs="Tahoma"/>
                      <w:color w:val="333333"/>
                      <w:spacing w:val="15"/>
                      <w:sz w:val="20"/>
                      <w:szCs w:val="20"/>
                      <w:bdr w:val="none" w:sz="0" w:space="0" w:color="auto" w:frame="1"/>
                      <w:lang w:eastAsia="pt-BR"/>
                    </w:rPr>
                    <w:br/>
                    <w:t>(Guia Prático da EFD ICMS/IPI) </w:t>
                  </w: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563E5" w:rsidRPr="00B563E5" w:rsidRDefault="00B563E5" w:rsidP="00B563E5">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B563E5" w:rsidRPr="00B563E5" w:rsidTr="00B563E5">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B563E5" w:rsidRPr="00B563E5">
              <w:trPr>
                <w:tblCellSpacing w:w="0" w:type="dxa"/>
              </w:trPr>
              <w:tc>
                <w:tcPr>
                  <w:tcW w:w="0" w:type="auto"/>
                  <w:tcBorders>
                    <w:top w:val="nil"/>
                    <w:left w:val="nil"/>
                    <w:bottom w:val="nil"/>
                    <w:right w:val="nil"/>
                  </w:tcBorders>
                  <w:vAlign w:val="center"/>
                  <w:hideMark/>
                </w:tcPr>
                <w:bookmarkStart w:id="8" w:name="pcicpr-06025-6"/>
                <w:bookmarkEnd w:id="8"/>
                <w:p w:rsidR="00B563E5" w:rsidRPr="00B563E5" w:rsidRDefault="00B563E5" w:rsidP="00B563E5">
                  <w:pPr>
                    <w:spacing w:after="0" w:line="240" w:lineRule="auto"/>
                    <w:rPr>
                      <w:rFonts w:ascii="Times New Roman" w:eastAsia="Times New Roman" w:hAnsi="Times New Roman" w:cs="Times New Roman"/>
                      <w:color w:val="333333"/>
                      <w:sz w:val="20"/>
                      <w:szCs w:val="20"/>
                      <w:lang w:eastAsia="pt-BR"/>
                    </w:rPr>
                  </w:pPr>
                  <w:r w:rsidRPr="00B563E5">
                    <w:rPr>
                      <w:rFonts w:ascii="Times New Roman" w:eastAsia="Times New Roman" w:hAnsi="Times New Roman" w:cs="Times New Roman"/>
                      <w:color w:val="333333"/>
                      <w:sz w:val="20"/>
                      <w:szCs w:val="20"/>
                      <w:lang w:eastAsia="pt-BR"/>
                    </w:rPr>
                    <w:fldChar w:fldCharType="begin"/>
                  </w:r>
                  <w:r w:rsidRPr="00B563E5">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"https://www.iobonline.com.br/pages/coreonline/coreonlineDocuments.jsf?il=y&amp;ls=3&amp;docFieldName=destino&amp;docFieldValue=PCICPR-06025" </w:instrText>
                  </w:r>
                  <w:r w:rsidRPr="00B563E5">
                    <w:rPr>
                      <w:rFonts w:ascii="Times New Roman" w:eastAsia="Times New Roman" w:hAnsi="Times New Roman" w:cs="Times New Roman"/>
                      <w:color w:val="333333"/>
                      <w:sz w:val="20"/>
                      <w:szCs w:val="20"/>
                      <w:lang w:eastAsia="pt-BR"/>
                    </w:rPr>
                    <w:fldChar w:fldCharType="separate"/>
                  </w:r>
                  <w:r w:rsidRPr="00B563E5">
                    <w:rPr>
                      <w:rFonts w:ascii="Tahoma" w:eastAsia="Times New Roman" w:hAnsi="Tahoma" w:cs="Tahoma"/>
                      <w:b/>
                      <w:bCs/>
                      <w:color w:val="333333"/>
                      <w:spacing w:val="15"/>
                      <w:sz w:val="17"/>
                      <w:szCs w:val="17"/>
                      <w:u w:val="single"/>
                      <w:bdr w:val="none" w:sz="0" w:space="0" w:color="auto" w:frame="1"/>
                      <w:lang w:eastAsia="pt-BR"/>
                    </w:rPr>
                    <w:t>Retornar ao Sumário</w:t>
                  </w:r>
                  <w:r w:rsidRPr="00B563E5">
                    <w:rPr>
                      <w:rFonts w:ascii="Times New Roman" w:eastAsia="Times New Roman" w:hAnsi="Times New Roman" w:cs="Times New Roman"/>
                      <w:color w:val="333333"/>
                      <w:sz w:val="20"/>
                      <w:szCs w:val="20"/>
                      <w:lang w:eastAsia="pt-BR"/>
                    </w:rPr>
                    <w:fldChar w:fldCharType="end"/>
                  </w:r>
                </w:p>
                <w:p w:rsidR="00B563E5" w:rsidRPr="00B563E5" w:rsidRDefault="00B563E5" w:rsidP="00B563E5">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B563E5">
                    <w:rPr>
                      <w:rFonts w:ascii="Tahoma" w:eastAsia="Times New Roman" w:hAnsi="Tahoma" w:cs="Tahoma"/>
                      <w:b/>
                      <w:bCs/>
                      <w:color w:val="333333"/>
                      <w:spacing w:val="15"/>
                      <w:sz w:val="20"/>
                      <w:szCs w:val="20"/>
                      <w:lang w:eastAsia="pt-BR"/>
                    </w:rPr>
                    <w:t>6. Arquivo-texto (TXT)</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Depois de efetuada a escrituração dos documentos fiscais citados e de gerados os registros para cada documento, será extraído arquivo-texto (TXT) para validação e transmissão pelo PVA_EFD. A seguir, representamos na 1ª linha um registro C100 e na 2ª e na 3ª linha, um registro C170, todos em arquivo TXT.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5509DE46" wp14:editId="76A0FDCA">
                        <wp:extent cx="5935980" cy="350520"/>
                        <wp:effectExtent l="0" t="0" r="7620" b="0"/>
                        <wp:docPr id="1" name="Imagem 1" descr="https://www.iobonline.com.br/Repository/ServContent?guid=PCICPR-06025_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obonline.com.br/Repository/ServContent?guid=PCICPR-06025_image014-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350520"/>
                                </a:xfrm>
                                <a:prstGeom prst="rect">
                                  <a:avLst/>
                                </a:prstGeom>
                                <a:noFill/>
                                <a:ln>
                                  <a:noFill/>
                                </a:ln>
                              </pic:spPr>
                            </pic:pic>
                          </a:graphicData>
                        </a:graphic>
                      </wp:inline>
                    </w:drawing>
                  </w:r>
                  <w:r w:rsidRPr="00B563E5">
                    <w:rPr>
                      <w:rFonts w:ascii="Tahoma" w:eastAsia="Times New Roman" w:hAnsi="Tahoma" w:cs="Tahoma"/>
                      <w:color w:val="333333"/>
                      <w:spacing w:val="15"/>
                      <w:sz w:val="20"/>
                      <w:szCs w:val="20"/>
                      <w:lang w:eastAsia="pt-BR"/>
                    </w:rPr>
                    <w:t> </w:t>
                  </w:r>
                </w:p>
              </w:tc>
            </w:tr>
          </w:tbl>
          <w:p w:rsidR="00B563E5" w:rsidRPr="00B563E5" w:rsidRDefault="00B563E5" w:rsidP="00B563E5">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B563E5" w:rsidRPr="00B563E5">
              <w:trPr>
                <w:tblCellSpacing w:w="15" w:type="dxa"/>
              </w:trPr>
              <w:tc>
                <w:tcPr>
                  <w:tcW w:w="0" w:type="auto"/>
                  <w:tcBorders>
                    <w:top w:val="nil"/>
                    <w:left w:val="nil"/>
                    <w:bottom w:val="nil"/>
                    <w:right w:val="nil"/>
                  </w:tcBorders>
                  <w:vAlign w:val="center"/>
                  <w:hideMark/>
                </w:tcPr>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r w:rsidRPr="00B563E5">
                    <w:rPr>
                      <w:rFonts w:ascii="Tahoma" w:eastAsia="Times New Roman" w:hAnsi="Tahoma" w:cs="Tahoma"/>
                      <w:color w:val="333333"/>
                      <w:spacing w:val="15"/>
                      <w:sz w:val="20"/>
                      <w:szCs w:val="20"/>
                      <w:lang w:eastAsia="pt-BR"/>
                    </w:rPr>
                    <w:t>Para melhor visualização e entendimento da composição do registro C170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305"/>
                    <w:gridCol w:w="677"/>
                    <w:gridCol w:w="1215"/>
                    <w:gridCol w:w="1195"/>
                    <w:gridCol w:w="1572"/>
                    <w:gridCol w:w="623"/>
                    <w:gridCol w:w="700"/>
                    <w:gridCol w:w="1021"/>
                    <w:gridCol w:w="1041"/>
                    <w:gridCol w:w="1094"/>
                    <w:gridCol w:w="1154"/>
                    <w:gridCol w:w="701"/>
                    <w:gridCol w:w="1102"/>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4</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5</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6</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7</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8</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9</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10</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12</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Nome do Campo</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REG</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NUM_ITEM</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COD_ITEM</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DESCR_COMPL</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QTD</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UNID</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VL_ITEM</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VL_DESC</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IND_MOV</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CST_ICMS</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CFOP</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COD_NAT</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lastRenderedPageBreak/>
                          <w:t>1ª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C170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1</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030025</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Solvente 5l</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1,00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UN</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27,00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090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1556</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013</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C170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2</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030026</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Lixa Ferro</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8,00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UN</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10,44</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090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1556</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013</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683"/>
                    <w:gridCol w:w="1266"/>
                    <w:gridCol w:w="1140"/>
                    <w:gridCol w:w="926"/>
                    <w:gridCol w:w="1597"/>
                    <w:gridCol w:w="913"/>
                    <w:gridCol w:w="1257"/>
                    <w:gridCol w:w="1068"/>
                    <w:gridCol w:w="865"/>
                    <w:gridCol w:w="1015"/>
                    <w:gridCol w:w="1080"/>
                    <w:gridCol w:w="954"/>
                    <w:gridCol w:w="740"/>
                    <w:gridCol w:w="896"/>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13</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14</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15</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16</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17</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18</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19</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20</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22</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23</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24</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25</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Nome do Campo</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VL_BC_ICMS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ALIQ_ICMS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VL_ICMS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VL_BC_ICMS_ST</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ALIQ_ST</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VL_ICMS_ST</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IND_APUR</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CST_IPI</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COD_ENQ</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VL_BC_IPI</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ALIQ_IPI</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VL_IPI</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CST_PIS</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02</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99</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02</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imes New Roman" w:eastAsia="Times New Roman" w:hAnsi="Times New Roman" w:cs="Times New Roman"/>
                            <w:sz w:val="24"/>
                            <w:szCs w:val="24"/>
                            <w:lang w:eastAsia="pt-BR"/>
                          </w:rP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99</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r>
                </w:tbl>
                <w:p w:rsidR="00B563E5" w:rsidRPr="00B563E5" w:rsidRDefault="00B563E5" w:rsidP="00B563E5">
                  <w:pPr>
                    <w:spacing w:after="240" w:line="240" w:lineRule="auto"/>
                    <w:jc w:val="both"/>
                    <w:rPr>
                      <w:rFonts w:ascii="Tahoma" w:eastAsia="Times New Roman" w:hAnsi="Tahoma" w:cs="Tahoma"/>
                      <w:color w:val="333333"/>
                      <w:spacing w:val="15"/>
                      <w:sz w:val="20"/>
                      <w:szCs w:val="20"/>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602"/>
                    <w:gridCol w:w="998"/>
                    <w:gridCol w:w="886"/>
                    <w:gridCol w:w="1355"/>
                    <w:gridCol w:w="886"/>
                    <w:gridCol w:w="697"/>
                    <w:gridCol w:w="1139"/>
                    <w:gridCol w:w="1328"/>
                    <w:gridCol w:w="1217"/>
                    <w:gridCol w:w="1685"/>
                    <w:gridCol w:w="1217"/>
                    <w:gridCol w:w="1029"/>
                    <w:gridCol w:w="889"/>
                  </w:tblGrid>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Campo</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26</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27</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28</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29</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30</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31</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32</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33</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34</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35</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36</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37</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lastRenderedPageBreak/>
                          <w:t>Nome do Campo</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VL_BC_PIS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ALIQ_PIS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QUANT_BC_PIS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ALIQ_PIS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VL_PIS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CST_COFINS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VL_BC_COFINS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QUANT_BC_COFINS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ALIQ_COFINS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VL_COFINS</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COD_CTA</w:t>
                        </w:r>
                        <w:r w:rsidRPr="00B563E5">
                          <w:rPr>
                            <w:rFonts w:ascii="Times New Roman" w:eastAsia="Times New Roman" w:hAnsi="Times New Roman" w:cs="Times New Roman"/>
                            <w:sz w:val="24"/>
                            <w:szCs w:val="24"/>
                            <w:lang w:eastAsia="pt-BR"/>
                          </w:rPr>
                          <w:b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1ª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99</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imes New Roman" w:eastAsia="Times New Roman" w:hAnsi="Times New Roman" w:cs="Times New Roman"/>
                            <w:sz w:val="24"/>
                            <w:szCs w:val="24"/>
                            <w:lang w:eastAsia="pt-BR"/>
                          </w:rPr>
                          <w:t> </w:t>
                        </w:r>
                      </w:p>
                    </w:tc>
                  </w:tr>
                  <w:tr w:rsidR="00B563E5" w:rsidRPr="00B563E5">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B563E5" w:rsidRPr="00B563E5" w:rsidRDefault="00B563E5" w:rsidP="00B563E5">
                        <w:pPr>
                          <w:spacing w:after="0" w:line="240" w:lineRule="auto"/>
                          <w:jc w:val="center"/>
                          <w:rPr>
                            <w:rFonts w:ascii="Times New Roman" w:eastAsia="Times New Roman" w:hAnsi="Times New Roman" w:cs="Times New Roman"/>
                            <w:b/>
                            <w:bCs/>
                            <w:color w:val="FFFFFF"/>
                            <w:sz w:val="24"/>
                            <w:szCs w:val="24"/>
                            <w:lang w:eastAsia="pt-BR"/>
                          </w:rPr>
                        </w:pPr>
                        <w:r w:rsidRPr="00B563E5">
                          <w:rPr>
                            <w:rFonts w:ascii="Tahoma" w:eastAsia="Times New Roman" w:hAnsi="Tahoma" w:cs="Tahoma"/>
                            <w:b/>
                            <w:bCs/>
                            <w:color w:val="FFFFFF"/>
                            <w:spacing w:val="15"/>
                            <w:sz w:val="17"/>
                            <w:szCs w:val="17"/>
                            <w:bdr w:val="none" w:sz="0" w:space="0" w:color="auto" w:frame="1"/>
                            <w:lang w:eastAsia="pt-BR"/>
                          </w:rPr>
                          <w:t>2ª linha C170 em TXT</w:t>
                        </w:r>
                        <w:r w:rsidRPr="00B563E5">
                          <w:rPr>
                            <w:rFonts w:ascii="Times New Roman" w:eastAsia="Times New Roman" w:hAnsi="Times New Roman" w:cs="Times New Roman"/>
                            <w:b/>
                            <w:bCs/>
                            <w:color w:val="FFFFFF"/>
                            <w:sz w:val="24"/>
                            <w:szCs w:val="24"/>
                            <w:lang w:eastAsia="pt-BR"/>
                          </w:rPr>
                          <w:t> </w:t>
                        </w:r>
                        <w:r w:rsidRPr="00B563E5">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99</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B563E5" w:rsidRPr="00B563E5" w:rsidRDefault="00B563E5" w:rsidP="00B563E5">
                        <w:pPr>
                          <w:spacing w:after="0" w:line="240" w:lineRule="auto"/>
                          <w:rPr>
                            <w:rFonts w:ascii="Times New Roman" w:eastAsia="Times New Roman" w:hAnsi="Times New Roman" w:cs="Times New Roman"/>
                            <w:sz w:val="24"/>
                            <w:szCs w:val="24"/>
                            <w:lang w:eastAsia="pt-BR"/>
                          </w:rPr>
                        </w:pPr>
                        <w:r w:rsidRPr="00B563E5">
                          <w:rPr>
                            <w:rFonts w:ascii="Tahoma" w:eastAsia="Times New Roman" w:hAnsi="Tahoma" w:cs="Tahoma"/>
                            <w:color w:val="000000"/>
                            <w:spacing w:val="15"/>
                            <w:sz w:val="17"/>
                            <w:szCs w:val="17"/>
                            <w:bdr w:val="none" w:sz="0" w:space="0" w:color="auto" w:frame="1"/>
                            <w:lang w:eastAsia="pt-BR"/>
                          </w:rPr>
                          <w:t>0,00</w:t>
                        </w:r>
                        <w:r w:rsidRPr="00B563E5">
                          <w:rPr>
                            <w:rFonts w:ascii="Times New Roman" w:eastAsia="Times New Roman" w:hAnsi="Times New Roman" w:cs="Times New Roman"/>
                            <w:sz w:val="24"/>
                            <w:szCs w:val="24"/>
                            <w:lang w:eastAsia="pt-BR"/>
                          </w:rPr>
                          <w:t> </w:t>
                        </w:r>
                        <w:r w:rsidRPr="00B563E5">
                          <w:rPr>
                            <w:rFonts w:ascii="Times New Roman" w:eastAsia="Times New Roman" w:hAnsi="Times New Roman" w:cs="Times New Roman"/>
                            <w:sz w:val="24"/>
                            <w:szCs w:val="24"/>
                            <w:lang w:eastAsia="pt-BR"/>
                          </w:rPr>
                          <w:br/>
                          <w:t> </w:t>
                        </w:r>
                      </w:p>
                    </w:tc>
                    <w:tc>
                      <w:tcPr>
                        <w:tcW w:w="0" w:type="auto"/>
                        <w:vAlign w:val="center"/>
                        <w:hideMark/>
                      </w:tcPr>
                      <w:p w:rsidR="00B563E5" w:rsidRPr="00B563E5" w:rsidRDefault="00B563E5" w:rsidP="00B563E5">
                        <w:pPr>
                          <w:spacing w:after="0" w:line="240" w:lineRule="auto"/>
                          <w:rPr>
                            <w:rFonts w:ascii="Times New Roman" w:eastAsia="Times New Roman" w:hAnsi="Times New Roman" w:cs="Times New Roman"/>
                            <w:sz w:val="20"/>
                            <w:szCs w:val="20"/>
                            <w:lang w:eastAsia="pt-BR"/>
                          </w:rPr>
                        </w:pPr>
                      </w:p>
                    </w:tc>
                  </w:tr>
                </w:tbl>
                <w:p w:rsidR="00B563E5" w:rsidRPr="00B563E5" w:rsidRDefault="00B563E5" w:rsidP="00B563E5">
                  <w:pPr>
                    <w:spacing w:after="0" w:line="240" w:lineRule="auto"/>
                    <w:jc w:val="both"/>
                    <w:rPr>
                      <w:rFonts w:ascii="Tahoma" w:eastAsia="Times New Roman" w:hAnsi="Tahoma" w:cs="Tahoma"/>
                      <w:color w:val="333333"/>
                      <w:spacing w:val="15"/>
                      <w:sz w:val="20"/>
                      <w:szCs w:val="20"/>
                      <w:lang w:eastAsia="pt-BR"/>
                    </w:rPr>
                  </w:pPr>
                </w:p>
              </w:tc>
            </w:tr>
          </w:tbl>
          <w:p w:rsidR="00B563E5" w:rsidRPr="00B563E5" w:rsidRDefault="00B563E5" w:rsidP="00B563E5">
            <w:pPr>
              <w:spacing w:after="0" w:line="240" w:lineRule="auto"/>
              <w:rPr>
                <w:rFonts w:ascii="Tahoma" w:eastAsia="Times New Roman" w:hAnsi="Tahoma" w:cs="Tahoma"/>
                <w:color w:val="000000"/>
                <w:spacing w:val="15"/>
                <w:sz w:val="27"/>
                <w:szCs w:val="27"/>
                <w:lang w:eastAsia="pt-BR"/>
              </w:rPr>
            </w:pPr>
          </w:p>
        </w:tc>
      </w:tr>
    </w:tbl>
    <w:p w:rsidR="00BF295B" w:rsidRDefault="00BF295B"/>
    <w:sectPr w:rsidR="00BF295B" w:rsidSect="00B563E5">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3E5"/>
    <w:rsid w:val="00B563E5"/>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B563E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B563E5"/>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B563E5"/>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B563E5"/>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B563E5"/>
    <w:rPr>
      <w:b/>
      <w:bCs/>
    </w:rPr>
  </w:style>
  <w:style w:type="character" w:styleId="Hyperlink">
    <w:name w:val="Hyperlink"/>
    <w:basedOn w:val="Fontepargpadro"/>
    <w:uiPriority w:val="99"/>
    <w:semiHidden/>
    <w:unhideWhenUsed/>
    <w:rsid w:val="00B563E5"/>
    <w:rPr>
      <w:color w:val="0000FF"/>
      <w:u w:val="single"/>
    </w:rPr>
  </w:style>
  <w:style w:type="character" w:styleId="HiperlinkVisitado">
    <w:name w:val="FollowedHyperlink"/>
    <w:basedOn w:val="Fontepargpadro"/>
    <w:uiPriority w:val="99"/>
    <w:semiHidden/>
    <w:unhideWhenUsed/>
    <w:rsid w:val="00B563E5"/>
    <w:rPr>
      <w:color w:val="800080"/>
      <w:u w:val="single"/>
    </w:rPr>
  </w:style>
  <w:style w:type="paragraph" w:customStyle="1" w:styleId="sumario">
    <w:name w:val="sumario"/>
    <w:basedOn w:val="Normal"/>
    <w:rsid w:val="00B563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B563E5"/>
  </w:style>
  <w:style w:type="character" w:customStyle="1" w:styleId="tabelatitulomini">
    <w:name w:val="tabelatitulomini"/>
    <w:basedOn w:val="Fontepargpadro"/>
    <w:rsid w:val="00B563E5"/>
  </w:style>
  <w:style w:type="character" w:customStyle="1" w:styleId="tabelatextomini">
    <w:name w:val="tabelatextomini"/>
    <w:basedOn w:val="Fontepargpadro"/>
    <w:rsid w:val="00B563E5"/>
  </w:style>
  <w:style w:type="character" w:customStyle="1" w:styleId="tabelatexto">
    <w:name w:val="tabelatexto"/>
    <w:basedOn w:val="Fontepargpadro"/>
    <w:rsid w:val="00B563E5"/>
  </w:style>
  <w:style w:type="character" w:customStyle="1" w:styleId="textocinzaescuro">
    <w:name w:val="textocinzaescuro"/>
    <w:basedOn w:val="Fontepargpadro"/>
    <w:rsid w:val="00B563E5"/>
  </w:style>
  <w:style w:type="paragraph" w:styleId="Textodebalo">
    <w:name w:val="Balloon Text"/>
    <w:basedOn w:val="Normal"/>
    <w:link w:val="TextodebaloChar"/>
    <w:uiPriority w:val="99"/>
    <w:semiHidden/>
    <w:unhideWhenUsed/>
    <w:rsid w:val="00B563E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563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B563E5"/>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B563E5"/>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B563E5"/>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B563E5"/>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B563E5"/>
    <w:rPr>
      <w:b/>
      <w:bCs/>
    </w:rPr>
  </w:style>
  <w:style w:type="character" w:styleId="Hyperlink">
    <w:name w:val="Hyperlink"/>
    <w:basedOn w:val="Fontepargpadro"/>
    <w:uiPriority w:val="99"/>
    <w:semiHidden/>
    <w:unhideWhenUsed/>
    <w:rsid w:val="00B563E5"/>
    <w:rPr>
      <w:color w:val="0000FF"/>
      <w:u w:val="single"/>
    </w:rPr>
  </w:style>
  <w:style w:type="character" w:styleId="HiperlinkVisitado">
    <w:name w:val="FollowedHyperlink"/>
    <w:basedOn w:val="Fontepargpadro"/>
    <w:uiPriority w:val="99"/>
    <w:semiHidden/>
    <w:unhideWhenUsed/>
    <w:rsid w:val="00B563E5"/>
    <w:rPr>
      <w:color w:val="800080"/>
      <w:u w:val="single"/>
    </w:rPr>
  </w:style>
  <w:style w:type="paragraph" w:customStyle="1" w:styleId="sumario">
    <w:name w:val="sumario"/>
    <w:basedOn w:val="Normal"/>
    <w:rsid w:val="00B563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B563E5"/>
  </w:style>
  <w:style w:type="character" w:customStyle="1" w:styleId="tabelatitulomini">
    <w:name w:val="tabelatitulomini"/>
    <w:basedOn w:val="Fontepargpadro"/>
    <w:rsid w:val="00B563E5"/>
  </w:style>
  <w:style w:type="character" w:customStyle="1" w:styleId="tabelatextomini">
    <w:name w:val="tabelatextomini"/>
    <w:basedOn w:val="Fontepargpadro"/>
    <w:rsid w:val="00B563E5"/>
  </w:style>
  <w:style w:type="character" w:customStyle="1" w:styleId="tabelatexto">
    <w:name w:val="tabelatexto"/>
    <w:basedOn w:val="Fontepargpadro"/>
    <w:rsid w:val="00B563E5"/>
  </w:style>
  <w:style w:type="character" w:customStyle="1" w:styleId="textocinzaescuro">
    <w:name w:val="textocinzaescuro"/>
    <w:basedOn w:val="Fontepargpadro"/>
    <w:rsid w:val="00B563E5"/>
  </w:style>
  <w:style w:type="paragraph" w:styleId="Textodebalo">
    <w:name w:val="Balloon Text"/>
    <w:basedOn w:val="Normal"/>
    <w:link w:val="TextodebaloChar"/>
    <w:uiPriority w:val="99"/>
    <w:semiHidden/>
    <w:unhideWhenUsed/>
    <w:rsid w:val="00B563E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563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424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obonline.com.br/pages/coreonline/coreonlineDocuments.jsf?il=y&amp;ls=3&amp;docFieldName=destino&amp;docFieldValue=fe+d+6022+2007" TargetMode="External"/><Relationship Id="rId18" Type="http://schemas.openxmlformats.org/officeDocument/2006/relationships/hyperlink" Target="https://www.iobonline.com.br/pages/coreonline/coreonlineDocuments.jsf?il=y&amp;ls=3&amp;docFieldName=destino&amp;docFieldValue=fe+ato+cotepe-icms+81+2017" TargetMode="External"/><Relationship Id="rId26" Type="http://schemas.openxmlformats.org/officeDocument/2006/relationships/hyperlink" Target="https://www.iobonline.com.br/pages/coreonline/coreonlineDocuments.jsf?il=y&amp;ls=3&amp;docFieldName=destino&amp;docFieldValue=fe+ajuste+sinief+7+2001" TargetMode="External"/><Relationship Id="rId39" Type="http://schemas.openxmlformats.org/officeDocument/2006/relationships/hyperlink" Target="https://www.iobonline.com.br/pages/coreonline/coreonlineDocuments.jsf?il=y&amp;ls=3&amp;docFieldName=destino&amp;docFieldValue=fe+lei+10865+2004" TargetMode="External"/><Relationship Id="rId3" Type="http://schemas.openxmlformats.org/officeDocument/2006/relationships/settings" Target="settings.xml"/><Relationship Id="rId21" Type="http://schemas.openxmlformats.org/officeDocument/2006/relationships/hyperlink" Target="https://www.iobonline.com.br/pages/coreonline/coreonlineDocuments.jsf?il=y&amp;ls=3&amp;docFieldName=destino&amp;docFieldValue=fe+ato+cotepe-icms+81+2017" TargetMode="External"/><Relationship Id="rId34" Type="http://schemas.openxmlformats.org/officeDocument/2006/relationships/hyperlink" Target="https://www.iobonline.com.br/pages/coreonline/coreonlineDocuments.jsf?il=y&amp;ls=3&amp;docFieldName=destino&amp;docFieldValue=fe+lei+10833+2003@art51" TargetMode="External"/><Relationship Id="rId42" Type="http://schemas.openxmlformats.org/officeDocument/2006/relationships/hyperlink" Target="https://www.iobonline.com.br/pages/coreonline/coreonlineDocuments.jsf?il=y&amp;ls=3&amp;docFieldName=destino&amp;docFieldValue=fe+lei+10833+2003" TargetMode="External"/><Relationship Id="rId47" Type="http://schemas.openxmlformats.org/officeDocument/2006/relationships/hyperlink" Target="https://www.iobonline.com.br/pages/coreonline/coreonlineDocuments.jsf?il=y&amp;ls=3&amp;docFieldName=destino&amp;docFieldValue=fe+in+rfb+1009+2010" TargetMode="External"/><Relationship Id="rId50" Type="http://schemas.openxmlformats.org/officeDocument/2006/relationships/fontTable" Target="fontTable.xml"/><Relationship Id="rId7" Type="http://schemas.openxmlformats.org/officeDocument/2006/relationships/hyperlink" Target="https://www.iobonline.com.br/pages/coreonline/coreonlineDocuments.jsf?il=y&amp;ls=3&amp;docFieldName=destino&amp;docFieldValue=PCICPR-06025" TargetMode="External"/><Relationship Id="rId12" Type="http://schemas.openxmlformats.org/officeDocument/2006/relationships/hyperlink" Target="https://www.iobonline.com.br/pages/coreonline/coreonlineDocuments.jsf?il=y&amp;ls=3&amp;docFieldName=destino&amp;docFieldValue=PCICPR-06025" TargetMode="External"/><Relationship Id="rId17" Type="http://schemas.openxmlformats.org/officeDocument/2006/relationships/image" Target="media/image1.png"/><Relationship Id="rId25" Type="http://schemas.openxmlformats.org/officeDocument/2006/relationships/hyperlink" Target="https://www.iobonline.com.br/pages/coreonline/coreonlineDocuments.jsf?il=y&amp;ls=3&amp;docFieldName=destino&amp;docFieldValue=fe+ajuste+sinief+3+2010" TargetMode="External"/><Relationship Id="rId33" Type="http://schemas.openxmlformats.org/officeDocument/2006/relationships/image" Target="media/image6.gif"/><Relationship Id="rId38" Type="http://schemas.openxmlformats.org/officeDocument/2006/relationships/hyperlink" Target="https://www.iobonline.com.br/pages/coreonline/coreonlineDocuments.jsf?il=y&amp;ls=3&amp;docFieldName=destino&amp;docFieldValue=fe+lei+10833+2003" TargetMode="External"/><Relationship Id="rId46" Type="http://schemas.openxmlformats.org/officeDocument/2006/relationships/hyperlink" Target="https://www.iobonline.com.br/pages/coreonline/coreonlineDocuments.jsf?il=y&amp;ls=3&amp;docFieldName=destino&amp;docFieldValue=fe+lei+10865+2004" TargetMode="Externa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ato+cotepe-icms+9+2008" TargetMode="External"/><Relationship Id="rId20" Type="http://schemas.openxmlformats.org/officeDocument/2006/relationships/hyperlink" Target="https://www.iobonline.com.br/pages/coreonline/coreonlineDocuments.jsf?il=y&amp;ls=3&amp;docFieldName=destino&amp;docFieldValue=fe+ato+cotepe-icms+9+2008" TargetMode="External"/><Relationship Id="rId29" Type="http://schemas.openxmlformats.org/officeDocument/2006/relationships/hyperlink" Target="https://www.iobonline.com.br/pages/coreonline/coreonlineDocuments.jsf?il=y&amp;ls=3&amp;docFieldName=destino&amp;docFieldValue=fe+d+8950+2016" TargetMode="External"/><Relationship Id="rId41" Type="http://schemas.openxmlformats.org/officeDocument/2006/relationships/hyperlink" Target="https://www.iobonline.com.br/pages/coreonline/coreonlineDocuments.jsf?il=y&amp;ls=3&amp;docFieldName=destino&amp;docFieldValue=fe+lei+10833+2003@art58a"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CPR-06025" TargetMode="External"/><Relationship Id="rId11" Type="http://schemas.openxmlformats.org/officeDocument/2006/relationships/hyperlink" Target="https://www.iobonline.com.br/pages/coreonline/coreonlineDocuments.jsf?il=y&amp;ls=3&amp;docFieldName=destino&amp;docFieldValue=PCICPR-06025" TargetMode="External"/><Relationship Id="rId24" Type="http://schemas.openxmlformats.org/officeDocument/2006/relationships/hyperlink" Target="https://www.iobonline.com.br/pages/coreonline/coreonlineDocuments.jsf?il=y&amp;ls=3&amp;docFieldName=destino&amp;docFieldValue=PCICPR-06025" TargetMode="External"/><Relationship Id="rId32" Type="http://schemas.openxmlformats.org/officeDocument/2006/relationships/hyperlink" Target="https://www.iobonline.com.br/pages/coreonline/coreonlineDocuments.jsf?il=y&amp;ls=3&amp;docFieldName=destino&amp;docFieldValue=fe+in+rfb+1009+2010" TargetMode="External"/><Relationship Id="rId37" Type="http://schemas.openxmlformats.org/officeDocument/2006/relationships/hyperlink" Target="https://www.iobonline.com.br/pages/coreonline/coreonlineDocuments.jsf?il=y&amp;ls=3&amp;docFieldName=destino&amp;docFieldValue=fe+lei+10833+2003@art52" TargetMode="External"/><Relationship Id="rId40" Type="http://schemas.openxmlformats.org/officeDocument/2006/relationships/hyperlink" Target="https://www.iobonline.com.br/pages/coreonline/coreonlineDocuments.jsf?il=y&amp;ls=3&amp;docFieldName=destino&amp;docFieldValue=fe+d+8950+2016" TargetMode="External"/><Relationship Id="rId45" Type="http://schemas.openxmlformats.org/officeDocument/2006/relationships/hyperlink" Target="https://www.iobonline.com.br/pages/coreonline/coreonlineDocuments.jsf?il=y&amp;ls=3&amp;docFieldName=destino&amp;docFieldValue=fe+lei+10865+2004" TargetMode="External"/><Relationship Id="rId5" Type="http://schemas.openxmlformats.org/officeDocument/2006/relationships/hyperlink" Target="https://www.iobonline.com.br/pages/coreonline/coreonlineDocuments.jsf?il=y&amp;ls=3&amp;docFieldName=destino&amp;docFieldValue=PCICPR-06025" TargetMode="External"/><Relationship Id="rId15" Type="http://schemas.openxmlformats.org/officeDocument/2006/relationships/hyperlink" Target="https://www.iobonline.com.br/pages/coreonline/coreonlineDocuments.jsf?il=y&amp;ls=3&amp;docFieldName=destino&amp;docFieldValue=fe+ajuste+sinief+2+2009" TargetMode="External"/><Relationship Id="rId23" Type="http://schemas.openxmlformats.org/officeDocument/2006/relationships/image" Target="media/image3.gif"/><Relationship Id="rId28" Type="http://schemas.openxmlformats.org/officeDocument/2006/relationships/image" Target="media/image4.gif"/><Relationship Id="rId36" Type="http://schemas.openxmlformats.org/officeDocument/2006/relationships/hyperlink" Target="https://www.iobonline.com.br/pages/coreonline/coreonlineDocuments.jsf?il=y&amp;ls=3&amp;docFieldName=destino&amp;docFieldValue=fe+d+8950+2016" TargetMode="External"/><Relationship Id="rId49" Type="http://schemas.openxmlformats.org/officeDocument/2006/relationships/image" Target="media/image8.jpeg"/><Relationship Id="rId10" Type="http://schemas.openxmlformats.org/officeDocument/2006/relationships/hyperlink" Target="https://www.iobonline.com.br/pages/coreonline/coreonlineDocuments.jsf?il=y&amp;ls=3&amp;docFieldName=destino&amp;docFieldValue=PCICPR-06025" TargetMode="External"/><Relationship Id="rId19" Type="http://schemas.openxmlformats.org/officeDocument/2006/relationships/hyperlink" Target="https://www.iobonline.com.br/pages/coreonline/coreonlineDocuments.jsf?il=y&amp;ls=3&amp;docFieldName=destino&amp;docFieldValue=fe+ato+cotepe-icms+9+2008" TargetMode="External"/><Relationship Id="rId31" Type="http://schemas.openxmlformats.org/officeDocument/2006/relationships/image" Target="media/image5.gif"/><Relationship Id="rId44" Type="http://schemas.openxmlformats.org/officeDocument/2006/relationships/hyperlink" Target="https://www.iobonline.com.br/pages/coreonline/coreonlineDocuments.jsf?il=y&amp;ls=3&amp;docFieldName=destino&amp;docFieldValue=fe+lei+10865+2004@art23"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CPR-06025" TargetMode="External"/><Relationship Id="rId14" Type="http://schemas.openxmlformats.org/officeDocument/2006/relationships/hyperlink" Target="https://www.iobonline.com.br/pages/coreonline/coreonlineDocuments.jsf?il=y&amp;ls=3&amp;docFieldName=destino&amp;docFieldValue=fe+d+6022+2007" TargetMode="External"/><Relationship Id="rId22" Type="http://schemas.openxmlformats.org/officeDocument/2006/relationships/image" Target="media/image2.gif"/><Relationship Id="rId27" Type="http://schemas.openxmlformats.org/officeDocument/2006/relationships/hyperlink" Target="https://www.iobonline.com.br/pages/coreonline/coreonlineDocuments.jsf?il=y&amp;ls=3&amp;docFieldName=destino&amp;docFieldValue=fe+in+rfb+1009+2010" TargetMode="External"/><Relationship Id="rId30" Type="http://schemas.openxmlformats.org/officeDocument/2006/relationships/hyperlink" Target="https://www.iobonline.com.br/pages/coreonline/coreonlineDocuments.jsf?il=y&amp;ls=3&amp;docFieldName=destino&amp;docFieldValue=fe+in+rfb+1009+2010" TargetMode="External"/><Relationship Id="rId35" Type="http://schemas.openxmlformats.org/officeDocument/2006/relationships/hyperlink" Target="https://www.iobonline.com.br/pages/coreonline/coreonlineDocuments.jsf?il=y&amp;ls=3&amp;docFieldName=destino&amp;docFieldValue=fe+lei+10833+2003" TargetMode="External"/><Relationship Id="rId43" Type="http://schemas.openxmlformats.org/officeDocument/2006/relationships/hyperlink" Target="https://www.iobonline.com.br/pages/coreonline/coreonlineDocuments.jsf?il=y&amp;ls=3&amp;docFieldName=destino&amp;docFieldValue=fe+lei+10865+2004" TargetMode="External"/><Relationship Id="rId48" Type="http://schemas.openxmlformats.org/officeDocument/2006/relationships/image" Target="media/image7.gif"/><Relationship Id="rId8" Type="http://schemas.openxmlformats.org/officeDocument/2006/relationships/hyperlink" Target="https://www.iobonline.com.br/pages/coreonline/coreonlineDocuments.jsf?il=y&amp;ls=3&amp;docFieldName=destino&amp;docFieldValue=PCICPR-06025" TargetMode="External"/><Relationship Id="rId51"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3936</Words>
  <Characters>21257</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2018-05-23T03:29:00Z</dcterms:created>
  <dcterms:modified xsi:type="dcterms:W3CDTF">2018-05-23T03:29:00Z</dcterms:modified>
</cp:coreProperties>
</file>