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6"/>
        <w:gridCol w:w="14"/>
      </w:tblGrid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pBdr>
                <w:top w:val="dotted" w:sz="6" w:space="8" w:color="9C2631"/>
                <w:bottom w:val="dotted" w:sz="6" w:space="8" w:color="9C2631"/>
              </w:pBdr>
              <w:shd w:val="clear" w:color="auto" w:fill="ECECEC"/>
              <w:spacing w:before="225" w:after="225" w:line="240" w:lineRule="auto"/>
              <w:outlineLvl w:val="3"/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</w:pPr>
            <w:bookmarkStart w:id="0" w:name="_GoBack" w:colFirst="0" w:colLast="0"/>
            <w:r w:rsidRPr="0074217A"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  <w:t>ICMS/PR - Escrituração Fiscal Digital (EFD)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bookmarkEnd w:id="0"/>
    </w:tbl>
    <w:p w:rsidR="0074217A" w:rsidRPr="0074217A" w:rsidRDefault="0074217A" w:rsidP="00742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r w:rsidRPr="0074217A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Resumo: </w:t>
            </w:r>
            <w:r w:rsidRPr="0074217A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 xml:space="preserve">Este procedimento trata da escrituração fiscal digital instituída pelo Convênio ICMS nº 143/2006 e disciplinada por diversos atos de natureza federal, tais como o Protocolo ICMS nº 77/2008 que, no Anexo XXV de sua Cláusula primeira, relaciona os contribuintes obrigados a esse sistema de escrituração, e o Ato </w:t>
            </w:r>
            <w:proofErr w:type="spellStart"/>
            <w:r w:rsidRPr="0074217A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Cotepe</w:t>
            </w:r>
            <w:proofErr w:type="spellEnd"/>
            <w:r w:rsidRPr="0074217A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/ICMS nº 9/2008, que instituiu, nos termos de seu Anexo Único, o Manual de Orientação do Leiaute da Escrituração Fiscal Digital (EFD), bem como o RICMS-PR/2012, arts. 277 a 289 e Norma de Procedimento Fiscal CRE nº 86/2009, que tratam do assunto no âmbito estadual.</w:t>
            </w:r>
          </w:p>
        </w:tc>
      </w:tr>
    </w:tbl>
    <w:p w:rsidR="0074217A" w:rsidRPr="0074217A" w:rsidRDefault="0074217A" w:rsidP="00742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</w:tblGrid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pBdr>
                <w:top w:val="dotted" w:sz="6" w:space="8" w:color="9C2631"/>
                <w:bottom w:val="dotted" w:sz="6" w:space="8" w:color="9C2631"/>
              </w:pBdr>
              <w:spacing w:before="225" w:after="0" w:line="240" w:lineRule="auto"/>
              <w:ind w:left="75"/>
              <w:outlineLvl w:val="3"/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</w:pPr>
            <w:r w:rsidRPr="0074217A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  <w:t>Sumário</w:t>
            </w:r>
          </w:p>
        </w:tc>
      </w:tr>
    </w:tbl>
    <w:p w:rsidR="0074217A" w:rsidRPr="0074217A" w:rsidRDefault="0074217A" w:rsidP="0074217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5" w:anchor="pcicpr-05612-1" w:history="1">
              <w:r w:rsidRPr="0074217A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 Quadro sinótico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6" w:anchor="pcicpr-05612-2" w:history="1">
              <w:r w:rsidRPr="0074217A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2. Obrigatoriedade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7" w:anchor="pcicpr-05612-2.1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2.1 Contribuintes dispensados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8" w:anchor="pcicpr-05612-2.2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2.2 Incorporação</w:t>
              </w:r>
              <w:proofErr w:type="gramEnd"/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, cisão ou fusão de empresas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9" w:anchor="pcicpr-05612-3" w:history="1">
              <w:r w:rsidRPr="0074217A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 Operações, prestações e informações sujeitas à EFD</w:t>
              </w:r>
              <w:proofErr w:type="gramStart"/>
            </w:hyperlink>
            <w:proofErr w:type="gramEnd"/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0" w:anchor="pcicpr-05612-3.1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3.1 Informação e apuração do ICMS e dispensa da GIA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11" w:anchor="pcicpr-05612-4" w:history="1">
              <w:r w:rsidRPr="0074217A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4. Arquivo digital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2" w:anchor="pcicpr-05612-4.1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 Conteúdo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3" w:anchor="pcicpr-05612-4.2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4.2 Prestação</w:t>
              </w:r>
              <w:proofErr w:type="gramEnd"/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de informações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4" w:anchor="pcicpr-05612-4.3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4.3 Geração e validação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5" w:anchor="pcicpr-05612-4.3.1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4.3.1 Tabelas e códigos - Utilização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6" w:anchor="pcicpr-05612-4.3.2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4.3.2 Validação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7" w:anchor="pcicpr-05612-4.3.3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4.3.3 Prazo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8" w:anchor="pcicpr-05612-4.4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 Recepção e processamento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9" w:anchor="pcicpr-05612-4.4.1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4.4.1 Reconhecimento da veracidade e da legitimidade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20" w:anchor="pcicpr-05612-5" w:history="1">
              <w:r w:rsidRPr="0074217A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5. Irregularidades na EFD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1" w:anchor="pcicpr-05612-5.1" w:history="1"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5.1 Retificação</w:t>
              </w:r>
              <w:proofErr w:type="gramEnd"/>
              <w:r w:rsidRPr="0074217A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da EFD</w:t>
              </w:r>
            </w:hyperlink>
          </w:p>
        </w:tc>
      </w:tr>
      <w:tr w:rsidR="0074217A" w:rsidRPr="0074217A" w:rsidTr="0074217A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22" w:anchor="pcicpr-05612-6" w:history="1">
              <w:r w:rsidRPr="0074217A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6. Guarda das informações relativas à EFD</w:t>
              </w:r>
            </w:hyperlink>
          </w:p>
        </w:tc>
      </w:tr>
    </w:tbl>
    <w:p w:rsidR="0074217A" w:rsidRPr="0074217A" w:rsidRDefault="0074217A" w:rsidP="00742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" w:name="pcicpr-05612-1"/>
                <w:bookmarkEnd w:id="1"/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"https://www.iobonline.com.br/pages/coreonline/coreonlineDocuments.jsf?il=y&amp;ls=3&amp;docFieldName=destino&amp;docFieldValue=PCICPR-05612" </w:instrTex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1. Quadro sinótico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2" w:name="pcicpr-05612-principais_regras"/>
            <w:bookmarkEnd w:id="2"/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rHeight w:val="18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pt-BR"/>
                    </w:rPr>
                  </w:pPr>
                </w:p>
              </w:tc>
            </w:tr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  <w:t>Principais regras</w:t>
                  </w:r>
                </w:p>
              </w:tc>
            </w:tr>
          </w:tbl>
          <w:p w:rsidR="0074217A" w:rsidRPr="0074217A" w:rsidRDefault="0074217A" w:rsidP="0074217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8"/>
              <w:gridCol w:w="12342"/>
            </w:tblGrid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Obrigatoriedade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Por força do disposto no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Protocolo ICMS nº </w:t>
                  </w:r>
                  <w:hyperlink r:id="rId23" w:anchor="fe+prot+icms+3+2011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3/2011</w:t>
                    </w:r>
                  </w:hyperlink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,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a partir de 1º.01.2014, todos os contribuintes paranaenses inscritos no Cadastro de Contribuintes do ICMS (CAD/ICMS) estão obrigados a efetuar a EFD, exceto os optantes pelo Simples Nacional, inclusive os da categoria microempreendedor individual (MEI).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Fusão, cisão e incorporação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No caso de fusão, incorporação ou cisão, a obrigatoriedade relativa à EFD se estende à empresa incorporadora, cindida ou resultante da cisão ou fusão.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Livros incluídos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 EFD deverá ser efetuada pelo contribuinte mediante o registro eletrônico, em arquivo digital padronizado, de todas as operações, prestações e informações sujeitas à escrituração nos seguintes livros fiscais: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a) Registro de Entradas;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b) Registro de Saídas;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c) Registro de Inventário;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d) Registro de Apuração do IPI;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e) Registro de Apuração do ICMS;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f) documento Controle de Crédito de ICMS do Ativo Permanente (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Ciap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g) Registro de Controle da Produção e do Estoque.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Prazo de envio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O arquivo digital da EFD deverá ser enviado até o dia 12 do mês subsequente ao do encerramento do mês da apuração.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projeto do Sistema Público de Escrituração Digital (Sped), instituído pelo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Decreto nº </w:t>
                  </w:r>
                  <w:hyperlink r:id="rId24" w:anchor="fe+d+6022+200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faz parte do Programa de Aceleração do Crescimento do Governo federal (PAC 2007-2010) e constitui-se em mais um avanço na informatização da relação entre o Fisco e os contribuintes.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projeto consiste, de modo geral, na modernização da sistemática atual do cumprimento das obrigações acessórias, transmitidas pelos contribuintes às administrações tributárias e aos órgãos fiscalizadores, utilizando-se da certificação digital para fins de assinatura dos documentos eletrônicos, garantindo assim a validade jurídica apenas na sua forma digital. É composto de: Escrituração Contábil Digital (ECD), Escrituração Fiscal Digital (EFD), Nota Fiscal Eletrônica (NF-e) e Conhecimento de Transporte Eletrônico (CT-e).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Neste procedimento, analisamos os principais aspectos fiscais relacionados à EFD com base nas disposições do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Convênio ICMS nº </w:t>
                  </w:r>
                  <w:hyperlink r:id="rId25" w:anchor="fe+conv+icms+143+2006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143/2006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, dos Atos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Cotepe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/ICMS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nºs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9/2008 e 50/2009, do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Ajuste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Sinief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nº </w:t>
                  </w:r>
                  <w:hyperlink r:id="rId26" w:anchor="fe+ajuste+sinief+2+2009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2/2009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 do </w:t>
                  </w:r>
                  <w:hyperlink r:id="rId27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aprovado pelo Decreto nº</w:t>
                  </w:r>
                  <w:hyperlink r:id="rId28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7.871/2017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, e atos de menor hierarquia que explicitam o assunto.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 </w:t>
                  </w:r>
                  <w:hyperlink r:id="rId29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arts. </w:t>
                  </w:r>
                  <w:hyperlink r:id="rId30" w:anchor="es-pr+d+7871+2017@art378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378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a </w:t>
                  </w:r>
                  <w:hyperlink r:id="rId31" w:anchor="es-pr+d+7871+2017@art390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390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74217A" w:rsidRPr="0074217A" w:rsidRDefault="0074217A" w:rsidP="0074217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3" w:name="pcicpr-05612-2"/>
                <w:bookmarkEnd w:id="3"/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"https://www.iobonline.com.br/pages/coreonline/coreonlineDocuments.jsf?il=y&amp;ls=3&amp;docFieldName=destino&amp;docFieldValue=PCICPR-05612" </w:instrTex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 Obrigatoriedade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Por força do disposto no Protocolo ICMS nº </w:t>
                  </w:r>
                  <w:hyperlink r:id="rId32" w:anchor="fe+prot+icms+3+2011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3/2011</w:t>
                    </w:r>
                  </w:hyperlink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,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a partir de 1º.01.2014, todos os contribuintes paranaenses inscritos no Cadastro de Contribuintes do ICMS (CAD/ICMS) estão obrigados a efetuar a EFD, exceto os estabelecimentos de microempreendedor individual (MEI), de microempresa (ME) e de empresa de pequeno porte (EPP), optantes pelo Simples Nacional.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Os contribuintes não obrigados à EFD poderão optar pela sua utilização, mediante solicitação no Receita/PR, conforme disposto em norma de procedimento.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hyperlink r:id="rId33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art. </w:t>
                  </w:r>
                  <w:hyperlink r:id="rId34" w:anchor="es-pr+d+7871+2017@art381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381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; Norma de Procedimento Fiscal CRE nº </w:t>
                  </w:r>
                  <w:hyperlink r:id="rId35" w:anchor="es-pr+npf+cre+56+2015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56/2015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item 9)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4" w:name="pcicpr-05612-2.1"/>
            <w:bookmarkEnd w:id="4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6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2.1 Contribuintes dispensados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Os optantes pelo Simples Nacional mantêm-se dispensados da EFD, somente em relação ao período em que se conservarem no dito regime simplificado.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MEI, a ME ou a EPP que por qualquer motivo for desenquadrado do Simples Nacional fica obrigado à EFD, a partir do mês do desenquadramento do regime.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Apesar da dispensa, fica facultado aos contribuintes optantes pelo Simples Nacional o direito de aderir à EFD, em substituição à escrituração fiscal manual ou por sistema eletrônico de processamento de dados.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Neste caso, a adesão é voluntária, mas, uma vez feita, estenderá a obrigatoriedade da EFD a todos os estabelecimentos do optante, situados no território paranaense, e se dará mediante comunicado realizado no Receita/PR, no serviço denominado "Adesão Voluntária da Obrigatoriedade à EFD", pelo sócio ou pelo contabilista, sendo que a obrigatoriedade se dará a partir do mês seguinte ao da formalização do pedido.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Norma de Procedimento Fiscal CRE nº </w:t>
                  </w:r>
                  <w:hyperlink r:id="rId37" w:anchor="es-pr+npf+cre+56+2015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56/2015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subitens 9.1 a 9.3)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5" w:name="pcicpr-05612-2.2"/>
            <w:bookmarkEnd w:id="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8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2.2 Incorporação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cisão ou fusão de empresas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No caso de fusão, incorporação ou cisão, a obrigatoriedade relativa à EFD se estende à empresa incorporadora, cindida ou resultante da cisão ou fusão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lastRenderedPageBreak/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Norma de Procedimento Fiscal CRE nº </w:t>
                  </w:r>
                  <w:hyperlink r:id="rId39" w:anchor="es-pr+npf+cre+56+2015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56/2015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item 12)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74217A" w:rsidRPr="0074217A" w:rsidRDefault="0074217A" w:rsidP="0074217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6" w:name="pcicpr-05612-3"/>
                <w:bookmarkEnd w:id="6"/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"https://www.iobonline.com.br/pages/coreonline/coreonlineDocuments.jsf?il=y&amp;ls=3&amp;docFieldName=destino&amp;docFieldValue=PCICPR-05612" </w:instrTex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3. Operações, prestações e informações sujeitas à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EFD</w:t>
                  </w:r>
                  <w:proofErr w:type="gramEnd"/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EFD deverá ser efetuada pelo contribuinte mediante o registro eletrônico, em arquivo digital padronizado, de todas as operações, prestações e informações sujeitas à escrituração nos seguintes livros fiscais: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Registro de Entradas;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Registro de Saídas;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Registro de Inventário;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Registro de Apuração do IPI;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Registro de Apuração do ICMS;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f) documento Controle de Crédito de ICMS do Ativo Permanente (</w:t>
                        </w:r>
                        <w:proofErr w:type="spell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Ciap</w:t>
                        </w:r>
                        <w:proofErr w:type="spell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);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"/>
                    <w:gridCol w:w="1389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24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g) Registro de Controle da Produção e do Estoque. </w:t>
                        </w:r>
                      </w:p>
                      <w:tbl>
                        <w:tblPr>
                          <w:tblW w:w="11280" w:type="dxa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3848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14100" w:type="dxa"/>
                                <w:tblCellSpacing w:w="0" w:type="dxa"/>
                                <w:tblBorders>
                                  <w:top w:val="dotted" w:sz="6" w:space="0" w:color="999999"/>
                                  <w:left w:val="dotted" w:sz="6" w:space="0" w:color="999999"/>
                                  <w:right w:val="dotted" w:sz="6" w:space="0" w:color="999999"/>
                                </w:tblBorders>
                                <w:shd w:val="clear" w:color="auto" w:fill="ECECEC"/>
                                <w:tblCellMar>
                                  <w:top w:w="75" w:type="dxa"/>
                                  <w:left w:w="75" w:type="dxa"/>
                                  <w:bottom w:w="75" w:type="dxa"/>
                                  <w:right w:w="7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100"/>
                              </w:tblGrid>
                              <w:tr w:rsidR="0074217A" w:rsidRPr="0074217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ECECEC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:rsidR="0074217A" w:rsidRPr="0074217A" w:rsidRDefault="0074217A" w:rsidP="0074217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pt-BR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lang w:eastAsia="pt-BR"/>
                                      </w:rPr>
                                      <w:drawing>
                                        <wp:inline distT="0" distB="0" distL="0" distR="0" wp14:anchorId="3FBA60BF" wp14:editId="6C1E509B">
                                          <wp:extent cx="266700" cy="297180"/>
                                          <wp:effectExtent l="0" t="0" r="0" b="7620"/>
                                          <wp:docPr id="2" name="Imagem 2" descr="https://www.iobonline.com.br/skins/coreonline/imagens/nota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 descr="https://www.iobonline.com.br/skins/coreonline/imagens/nota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66700" cy="2971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74217A">
                                      <w:rPr>
                                        <w:rFonts w:ascii="Tahoma" w:eastAsia="Times New Roman" w:hAnsi="Tahoma" w:cs="Tahoma"/>
                                        <w:b/>
                                        <w:bCs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bdr w:val="none" w:sz="0" w:space="0" w:color="auto" w:frame="1"/>
                                        <w:lang w:eastAsia="pt-BR"/>
                                      </w:rPr>
                                      <w:t> Nota</w:t>
                                    </w:r>
                                  </w:p>
                                </w:tc>
                              </w:tr>
                            </w:tbl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rPr>
                                  <w:rFonts w:ascii="Tahoma" w:eastAsia="Times New Roman" w:hAnsi="Tahoma" w:cs="Tahoma"/>
                                  <w:vanish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</w:pPr>
                            </w:p>
                            <w:tbl>
                              <w:tblPr>
                                <w:tblW w:w="14100" w:type="dxa"/>
                                <w:tblCellSpacing w:w="0" w:type="dxa"/>
                                <w:tblBorders>
                                  <w:left w:val="dotted" w:sz="6" w:space="0" w:color="999999"/>
                                  <w:right w:val="dotted" w:sz="6" w:space="0" w:color="999999"/>
                                </w:tblBorders>
                                <w:shd w:val="clear" w:color="auto" w:fill="ECECEC"/>
                                <w:tblCellMar>
                                  <w:top w:w="75" w:type="dxa"/>
                                  <w:left w:w="75" w:type="dxa"/>
                                  <w:bottom w:w="75" w:type="dxa"/>
                                  <w:right w:w="7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100"/>
                              </w:tblGrid>
                              <w:tr w:rsidR="0074217A" w:rsidRPr="0074217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ECECEC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:rsidR="0074217A" w:rsidRPr="0074217A" w:rsidRDefault="0074217A" w:rsidP="0074217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</w:pPr>
                                    <w:r w:rsidRPr="0074217A"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  <w:t>É vedada ao contribuinte obrigado à EFD a escrituração dos livros e do documento, mencionados anteriormente, em discordância com o disposto na legislação.</w:t>
                                    </w:r>
                                  </w:p>
                                </w:tc>
                              </w:tr>
                            </w:tbl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4"/>
                                  <w:szCs w:val="24"/>
                                  <w:bdr w:val="none" w:sz="0" w:space="0" w:color="auto" w:frame="1"/>
                                  <w:lang w:eastAsia="pt-BR"/>
                                </w:rPr>
                              </w:pP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proofErr w:type="gram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( </w:t>
                        </w:r>
                        <w:proofErr w:type="gram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fldChar w:fldCharType="begin"/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instrText xml:space="preserve"> HYPERLINK "https://www.iobonline.com.br/pages/coreonline/coreonlineDocuments.jsf?il=y&amp;ls=3&amp;docFieldName=destino&amp;docFieldValue=es-pr+d+7871+2017" \l "es-pr+d+7871+2017" \t "_parent" </w:instrText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fldChar w:fldCharType="separate"/>
                        </w:r>
                        <w:r w:rsidRPr="0074217A">
                          <w:rPr>
                            <w:rFonts w:ascii="Verdana" w:eastAsia="Times New Roman" w:hAnsi="Verdan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u w:val="single"/>
                            <w:bdr w:val="none" w:sz="0" w:space="0" w:color="auto" w:frame="1"/>
                            <w:lang w:eastAsia="pt-BR"/>
                          </w:rPr>
                          <w:t>RICMS-PR/2017</w:t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fldChar w:fldCharType="end"/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art. </w:t>
                        </w:r>
                        <w:hyperlink r:id="rId41" w:anchor="es-pr+d+7871+2017@art378" w:tgtFrame="_parent" w:history="1">
                          <w:r w:rsidRPr="0074217A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378</w:t>
                          </w:r>
                        </w:hyperlink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§ 3º, e art. </w:t>
                        </w:r>
                        <w:hyperlink r:id="rId42" w:anchor="es-pr+d+7871+2017@art380" w:tgtFrame="_parent" w:history="1">
                          <w:r w:rsidRPr="0074217A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380</w:t>
                          </w:r>
                        </w:hyperlink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)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7" w:name="pcicpr-05612-3.1"/>
            <w:bookmarkEnd w:id="7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3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3.1 Informação e apuração do ICMS e dispensa da GIA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estabelecimento obrigado à EFD ficou dispensado de entregar a Guia de Informação e Apuração do ICMS (GIA-ICMS) a partir do 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período de referência agosto/2015.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valor escriturado no "Bloco E: Apuração do ICMS e do IPI" no registro de "Apuração do ICMS - Operações próprias" da EFD "Regular" será o valor legal e válido para constituir o crédito tributário junto à Coordenação da Receita do Estado (CRE).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Norma de Procedimento Fiscal CRE nº </w:t>
                  </w:r>
                  <w:hyperlink r:id="rId44" w:anchor="es-pr+npf+cre+56+2015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56/2015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itens 14 e 15)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74217A" w:rsidRPr="0074217A" w:rsidRDefault="0074217A" w:rsidP="0074217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8" w:name="pcicpr-05612-4"/>
                <w:bookmarkEnd w:id="8"/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"https://www.iobonline.com.br/pages/coreonline/coreonlineDocuments.jsf?il=y&amp;ls=3&amp;docFieldName=destino&amp;docFieldValue=PCICPR-05612" </w:instrTex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 Arquivo digital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9" w:name="pcicpr-05612-4.1"/>
            <w:bookmarkEnd w:id="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5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 Conteúdo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digital da EFD deverá conter: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"/>
                    <w:gridCol w:w="1389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24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a totalidade das informações econômico-fiscais e contábeis, e outras de interesse da Secretaria de Estado da Fazenda, correspondentes ao período compreendido entre o 1º e o último dia do mês; </w:t>
                        </w:r>
                      </w:p>
                      <w:tbl>
                        <w:tblPr>
                          <w:tblW w:w="11280" w:type="dxa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3848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14100" w:type="dxa"/>
                                <w:tblCellSpacing w:w="0" w:type="dxa"/>
                                <w:tblBorders>
                                  <w:top w:val="dotted" w:sz="6" w:space="0" w:color="999999"/>
                                  <w:left w:val="dotted" w:sz="6" w:space="0" w:color="999999"/>
                                  <w:right w:val="dotted" w:sz="6" w:space="0" w:color="999999"/>
                                </w:tblBorders>
                                <w:shd w:val="clear" w:color="auto" w:fill="ECECEC"/>
                                <w:tblCellMar>
                                  <w:top w:w="75" w:type="dxa"/>
                                  <w:left w:w="75" w:type="dxa"/>
                                  <w:bottom w:w="75" w:type="dxa"/>
                                  <w:right w:w="7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100"/>
                              </w:tblGrid>
                              <w:tr w:rsidR="0074217A" w:rsidRPr="0074217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ECECEC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:rsidR="0074217A" w:rsidRPr="0074217A" w:rsidRDefault="0074217A" w:rsidP="0074217A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pt-BR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lang w:eastAsia="pt-BR"/>
                                      </w:rPr>
                                      <w:drawing>
                                        <wp:inline distT="0" distB="0" distL="0" distR="0" wp14:anchorId="6207469D" wp14:editId="4C2CDC10">
                                          <wp:extent cx="266700" cy="297180"/>
                                          <wp:effectExtent l="0" t="0" r="0" b="7620"/>
                                          <wp:docPr id="1" name="Imagem 1" descr="https://www.iobonline.com.br/skins/coreonline/imagens/nota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 descr="https://www.iobonline.com.br/skins/coreonline/imagens/nota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66700" cy="2971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74217A">
                                      <w:rPr>
                                        <w:rFonts w:ascii="Tahoma" w:eastAsia="Times New Roman" w:hAnsi="Tahoma" w:cs="Tahoma"/>
                                        <w:b/>
                                        <w:bCs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bdr w:val="none" w:sz="0" w:space="0" w:color="auto" w:frame="1"/>
                                        <w:lang w:eastAsia="pt-BR"/>
                                      </w:rPr>
                                      <w:t> Nota</w:t>
                                    </w:r>
                                  </w:p>
                                </w:tc>
                              </w:tr>
                            </w:tbl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rPr>
                                  <w:rFonts w:ascii="Tahoma" w:eastAsia="Times New Roman" w:hAnsi="Tahoma" w:cs="Tahoma"/>
                                  <w:vanish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</w:pPr>
                            </w:p>
                            <w:tbl>
                              <w:tblPr>
                                <w:tblW w:w="14100" w:type="dxa"/>
                                <w:tblCellSpacing w:w="0" w:type="dxa"/>
                                <w:tblBorders>
                                  <w:left w:val="dotted" w:sz="6" w:space="0" w:color="999999"/>
                                  <w:right w:val="dotted" w:sz="6" w:space="0" w:color="999999"/>
                                </w:tblBorders>
                                <w:shd w:val="clear" w:color="auto" w:fill="ECECEC"/>
                                <w:tblCellMar>
                                  <w:top w:w="75" w:type="dxa"/>
                                  <w:left w:w="75" w:type="dxa"/>
                                  <w:bottom w:w="75" w:type="dxa"/>
                                  <w:right w:w="7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100"/>
                              </w:tblGrid>
                              <w:tr w:rsidR="0074217A" w:rsidRPr="0074217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ECECEC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:rsidR="0074217A" w:rsidRPr="0074217A" w:rsidRDefault="0074217A" w:rsidP="0074217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</w:pPr>
                                    <w:r w:rsidRPr="0074217A"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  <w:t>Considera-se totalidade das informações:</w:t>
                                    </w:r>
                                  </w:p>
                                </w:tc>
                              </w:tr>
                            </w:tbl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rPr>
                                  <w:rFonts w:ascii="Tahoma" w:eastAsia="Times New Roman" w:hAnsi="Tahoma" w:cs="Tahoma"/>
                                  <w:vanish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</w:pPr>
                            </w:p>
                            <w:tbl>
                              <w:tblPr>
                                <w:tblW w:w="14100" w:type="dxa"/>
                                <w:tblCellSpacing w:w="0" w:type="dxa"/>
                                <w:tblBorders>
                                  <w:left w:val="dotted" w:sz="6" w:space="0" w:color="999999"/>
                                  <w:right w:val="dotted" w:sz="6" w:space="0" w:color="999999"/>
                                </w:tblBorders>
                                <w:shd w:val="clear" w:color="auto" w:fill="ECECEC"/>
                                <w:tblCellMar>
                                  <w:top w:w="75" w:type="dxa"/>
                                  <w:left w:w="75" w:type="dxa"/>
                                  <w:bottom w:w="75" w:type="dxa"/>
                                  <w:right w:w="7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100"/>
                              </w:tblGrid>
                              <w:tr w:rsidR="0074217A" w:rsidRPr="0074217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ECECEC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:rsidR="0074217A" w:rsidRPr="0074217A" w:rsidRDefault="0074217A" w:rsidP="0074217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</w:pPr>
                                    <w:r w:rsidRPr="0074217A"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  <w:t>a) as relativas às entradas e às saídas de mercadorias, bem como aos serviços prestados e tomados, incluindo a descrição dos itens de mercadorias, produtos e serviços;</w:t>
                                    </w:r>
                                  </w:p>
                                </w:tc>
                              </w:tr>
                            </w:tbl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rPr>
                                  <w:rFonts w:ascii="Tahoma" w:eastAsia="Times New Roman" w:hAnsi="Tahoma" w:cs="Tahoma"/>
                                  <w:vanish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</w:pPr>
                            </w:p>
                            <w:tbl>
                              <w:tblPr>
                                <w:tblW w:w="14100" w:type="dxa"/>
                                <w:tblCellSpacing w:w="0" w:type="dxa"/>
                                <w:tblBorders>
                                  <w:left w:val="dotted" w:sz="6" w:space="0" w:color="999999"/>
                                  <w:right w:val="dotted" w:sz="6" w:space="0" w:color="999999"/>
                                </w:tblBorders>
                                <w:shd w:val="clear" w:color="auto" w:fill="ECECEC"/>
                                <w:tblCellMar>
                                  <w:top w:w="75" w:type="dxa"/>
                                  <w:left w:w="75" w:type="dxa"/>
                                  <w:bottom w:w="75" w:type="dxa"/>
                                  <w:right w:w="7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100"/>
                              </w:tblGrid>
                              <w:tr w:rsidR="0074217A" w:rsidRPr="0074217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ECECEC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:rsidR="0074217A" w:rsidRPr="0074217A" w:rsidRDefault="0074217A" w:rsidP="0074217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</w:pPr>
                                    <w:r w:rsidRPr="0074217A"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  <w:t xml:space="preserve">b) as relativas </w:t>
                                    </w:r>
                                    <w:proofErr w:type="gramStart"/>
                                    <w:r w:rsidRPr="0074217A"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  <w:t>a</w:t>
                                    </w:r>
                                    <w:proofErr w:type="gramEnd"/>
                                    <w:r w:rsidRPr="0074217A"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  <w:t xml:space="preserve"> quantidade, descrição e valores de mercadorias, matérias-primas, produtos intermediários, materiais de embalagem, produtos manufaturados e produtos em fabricação, em posse ou pertencentes ao estabelecimento do contribuinte declarante, ou fora do estabelecimento e em poder de terceiros;</w:t>
                                    </w:r>
                                  </w:p>
                                </w:tc>
                              </w:tr>
                            </w:tbl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rPr>
                                  <w:rFonts w:ascii="Tahoma" w:eastAsia="Times New Roman" w:hAnsi="Tahoma" w:cs="Tahoma"/>
                                  <w:vanish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</w:pPr>
                            </w:p>
                            <w:tbl>
                              <w:tblPr>
                                <w:tblW w:w="14100" w:type="dxa"/>
                                <w:tblCellSpacing w:w="0" w:type="dxa"/>
                                <w:tblBorders>
                                  <w:left w:val="dotted" w:sz="6" w:space="0" w:color="999999"/>
                                  <w:right w:val="dotted" w:sz="6" w:space="0" w:color="999999"/>
                                </w:tblBorders>
                                <w:shd w:val="clear" w:color="auto" w:fill="ECECEC"/>
                                <w:tblCellMar>
                                  <w:top w:w="75" w:type="dxa"/>
                                  <w:left w:w="75" w:type="dxa"/>
                                  <w:bottom w:w="75" w:type="dxa"/>
                                  <w:right w:w="7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100"/>
                              </w:tblGrid>
                              <w:tr w:rsidR="0074217A" w:rsidRPr="0074217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ECECEC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:rsidR="0074217A" w:rsidRPr="0074217A" w:rsidRDefault="0074217A" w:rsidP="0074217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</w:pPr>
                                    <w:r w:rsidRPr="0074217A">
                                      <w:rPr>
                                        <w:rFonts w:ascii="Tahoma" w:eastAsia="Times New Roman" w:hAnsi="Tahoma" w:cs="Tahoma"/>
                                        <w:color w:val="333333"/>
                                        <w:spacing w:val="15"/>
                                        <w:sz w:val="20"/>
                                        <w:szCs w:val="20"/>
                                        <w:lang w:eastAsia="pt-BR"/>
                                      </w:rPr>
                                      <w:t>c) qualquer informação que repercuta no inventário físico e contábil, na apuração, no pagamento ou na cobrança de tributos de competência dos entes conveniados ou outras de interesse das administrações tributárias.</w:t>
                                    </w:r>
                                  </w:p>
                                </w:tc>
                              </w:tr>
                            </w:tbl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4"/>
                                  <w:szCs w:val="24"/>
                                  <w:bdr w:val="none" w:sz="0" w:space="0" w:color="auto" w:frame="1"/>
                                  <w:lang w:eastAsia="pt-BR"/>
                                </w:rPr>
                              </w:pP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24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a apuração do ICMS referente às operações e às prestações praticadas pelo contribuinte;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c) a assinatura digital do contribuinte, ou de seu representante legal, certificada por entidade credenciada pela Infraestrutura de Chaves </w:t>
                        </w:r>
                        <w:proofErr w:type="gram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Públicas Brasileira</w:t>
                        </w:r>
                        <w:proofErr w:type="gram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(ICP-Brasil), de forma a garantir a autenticidade, a integridade e a validade jurídica das informações </w:t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lastRenderedPageBreak/>
                          <w:t>nele contidas;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a informação sobre qualquer situação de exceção na tributação do ICMS, tais como isenção, imunidade, não incidência, diferimento ou suspensão do recolhimento do imposto, com a indicação do respectivo dispositivo legal. </w:t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proofErr w:type="gram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(</w:t>
                        </w:r>
                        <w:proofErr w:type="gram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hyperlink r:id="rId46" w:anchor="es-pr+d+7871+2017" w:tgtFrame="_parent" w:history="1">
                          <w:r w:rsidRPr="0074217A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RICMS-PR/2017</w:t>
                          </w:r>
                        </w:hyperlink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arts. </w:t>
                        </w:r>
                        <w:hyperlink r:id="rId47" w:anchor="es-pr+d+7871+2017@art378" w:tgtFrame="_parent" w:history="1">
                          <w:r w:rsidRPr="0074217A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378</w:t>
                          </w:r>
                        </w:hyperlink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e </w:t>
                        </w:r>
                        <w:hyperlink r:id="rId48" w:anchor="es-pr+d+7871+2017@art384" w:tgtFrame="_parent" w:history="1">
                          <w:r w:rsidRPr="0074217A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384</w:t>
                          </w:r>
                        </w:hyperlink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)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10" w:name="pcicpr-05612-4.2"/>
            <w:bookmarkEnd w:id="10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9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4.2 Prestação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de informações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contribuinte deverá, para cada período de referência, prestar à Secretaria de Estado da Fazenda as informações relativas à EFD correspondente.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esse efeito, o contribuinte deverá, relativamente a cada estabelecimento localizado neste Estado, gerar um único arquivo digital da EFD e enviá-lo uma única vez à Secretaria da Fazenda, salvo na hipótese de retificação, se for o caso.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contribuinte que possuir mais de um estabelecimento, seja filial, sucursal, agência, depósito, fábrica ou outro qualquer, deverá prestar as informações relativas à EFD em arquivo digital individualizado por estabelecimento, ainda que a apuração dos impostos ou a escrituração contábil seja efetuada de forma centralizada, salvo disposição contrária do Regulamento.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hyperlink r:id="rId50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arts. </w:t>
                  </w:r>
                  <w:hyperlink r:id="rId51" w:anchor="es-pr+d+7871+2017@art383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383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e </w:t>
                  </w:r>
                  <w:hyperlink r:id="rId52" w:anchor="es-pr+d+7871+2017@art389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389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11" w:name="pcicpr-05612-4.3"/>
            <w:bookmarkEnd w:id="11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3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4.3 Geração e validação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7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arquivo digital da EFD será gerado pelo contribuinte, de acordo com as especificações do leiaute definido em ato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Cotepe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Em resumo, o leiaute do arquivo digital da EFD será estruturado em blocos de informações dispostas por tipo de documento, contendo, cada bloco, os registros individualizados por operações ou prestações, de forma a identificar, perfeitamente, a totalidade das informações a que se refere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letra "a" do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subtópico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4.1. 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Os registros correspondem ao conjunto das informações contidas nos documentos fiscais emitidos ou recebidos, em qualquer meio, 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além de classificações e ajustes efetuados pelo próprio contribuinte, e de outras informações de interesse fiscal, gravadas no arquivo digital da EFD.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instituição e a obrigatoriedade da apresentação do arquivo digital da EFD estão previstas no capítulo que trata da Escrituração Fiscal Digital do Regulamento do ICMS (RICMS), o qual disciplina a forma e o prazo de apresentação.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111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arquivo deve ser entregue de acordo com as especificações do leiaute definido em ato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Cotepe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correspondente ao perfil "A".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Após o arquivo digital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da EFD ser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validado pela CRE, serão disponibilizados no Receita/PR os seguintes documentos: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extrato EFD/ICMS - corresponde à apuração mensal do ICMS, contendo os créditos, os débitos, a apuração do imposto e os ajustes realizados;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documento auxiliar EFD/ICMS - demonstrativo auxiliar para visualização das seguintes informações: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valores fiscais de entradas e de saídas de mercadorias e serviços;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2) débitos de ICMS;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3) créditos de ICMS;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4) apuração do ICMS no período;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5) relatório das entradas e saídas - demonstrativo de operações totalizadas por Código de Situação Tributária (CST), Código Fiscal de Operações e Prestações (CFOP) e alíquotas.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arquivo digital da EFD,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após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validado pela CRE, poderá assumir uma das seguintes situações: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regular - EFD válida para a apuração do ICMS;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b) irregular - EFD apresentou uma ou mais irregularidades descritas no tópico </w:t>
                        </w:r>
                        <w:proofErr w:type="gram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5</w:t>
                        </w:r>
                        <w:proofErr w:type="gram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e não será considerada para a apuração do ICMS;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em análise - EFD apresentou uma ou mais situações previstas na legislação, sendo que, após análise do Fisco, poderá ser considerada "regular" ou "irregular";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omissa - EFD não foi transmitida ao ambiente nacional do Sped.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9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Além dos documentos relacionados, os seguintes serviços serão disponibilizados no Receita/PR: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7"/>
                    <w:gridCol w:w="9497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histórico da </w:t>
                        </w:r>
                        <w:proofErr w:type="spell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conta-corrente</w:t>
                        </w:r>
                        <w:proofErr w:type="spell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fiscal;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7"/>
                    <w:gridCol w:w="9497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histórico da EFD;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7"/>
                    <w:gridCol w:w="9497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histórico de GIA-ICMS, da GIA-ST e da EFD/ICMS;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7"/>
                    <w:gridCol w:w="9497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consulta de entrega da EFD;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7"/>
                    <w:gridCol w:w="9497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adesão voluntária da obrigatoriedade à EFD;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7"/>
                    <w:gridCol w:w="9497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f) autorização para EFD substituta;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7"/>
                    <w:gridCol w:w="9497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g) demais serviços.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recepção do arquivo digital da EFD, ou a sua autorização para substituição, não implicará reconhecimento da veracidade e da legitimidade das informações prestadas, nem homologação da apuração do imposto efetuada pelo contribuinte.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As orientações sobre a EFD, sua documentação técnica e legislação pertinente estão disponibilizadas no portal da Secretaria de Estado da Fazenda (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Sefa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), acessível na Internet no endereço www.fazenda.pr.gov.br,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"Serviços - EFD/Sped - Fiscal".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digital da EFD, após ser submetido à validação de consistência de leiaute efetuada pelo software denominado "Programa de Validação e Assinatura da Escrituração Fiscal Digital (PVA-EFD)" será recepcionado no ambiente nacional do Sped, instituído pelo Decreto nº</w:t>
                  </w:r>
                  <w:hyperlink r:id="rId54" w:anchor="fe+d+6022+200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</w:t>
                    </w:r>
                  </w:hyperlink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,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de 22.01.2007, do Governo Federal, e retransmitido à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Sefa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e, após ser validado pela CRE, poderá assumir as situações: "regular", "irregular", "em análise" ou "omissa".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contribuinte, após a transmissão do arquivo digital da EFD para o ambiente nacional do Sped, é responsável por verificar a sua situação no portal de serviços Receita/PR da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Sefa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acessível na Internet no endereço www.fazenda.pr.gov.br.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9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hipótese de o arquivo digital da EFD transmitido estar na situação "irregular", o contribuinte deverá enviar arquivo substituto.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contribuinte é responsável por observar a correta escrituração contábil e fiscal na EFD, bem como utilizar os códigos de ajustes previstos em norma de procedimento.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hyperlink r:id="rId55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art. </w:t>
                  </w:r>
                  <w:hyperlink r:id="rId56" w:anchor="es-pr+d+7871+2017@art384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384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; Norma de Procedimento Fiscal CRE nº </w:t>
                  </w:r>
                  <w:hyperlink r:id="rId57" w:anchor="es-pr+npf+cre+56+2015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56/2015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itens 1 a 8, 16 a 18 e 33)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12" w:name="pcicpr-05612-4.3.1"/>
            <w:bookmarkEnd w:id="12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8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4.3.1 Tabelas e códigos - Utilização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fins de cumprimento das obrigações relativas à EFD, aplicam-se as seguintes tabelas e códigos: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tabela de Nomenclatura Comum do </w:t>
                        </w:r>
                        <w:proofErr w:type="gram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Mercosul</w:t>
                        </w:r>
                        <w:proofErr w:type="gram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- Sistema Harmonizado (NCM/SH);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tabela de municípios do Instituto Brasileiro de Geografia e Estatística (IBGE);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c) CFOP constante do anexo ao Convênio </w:t>
                        </w:r>
                        <w:proofErr w:type="spell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Sinief</w:t>
                        </w:r>
                        <w:proofErr w:type="spell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s/nº de 1970;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d) CST constante do anexo ao Convênio </w:t>
                        </w:r>
                        <w:proofErr w:type="spell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Sinief</w:t>
                        </w:r>
                        <w:proofErr w:type="spell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s/nº de 1970;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tabela de códigos de ajustes de lançamentos e de apuração do imposto prevista na </w:t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Norma de Procedimento Fiscal CRE nº </w:t>
                        </w:r>
                        <w:hyperlink r:id="rId59" w:anchor="es-pr+npf+cre+112+2008" w:tgtFrame="_parent" w:history="1">
                          <w:r w:rsidRPr="0074217A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112/2008</w:t>
                          </w:r>
                        </w:hyperlink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, a seguir transcrita: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e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.1) tabela de códigos de ajustes da apuração do ICMS (</w:t>
                              </w:r>
                              <w:proofErr w:type="spell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subtópico</w:t>
                              </w:r>
                              <w:proofErr w:type="spell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5.1.1 do </w:t>
                              </w:r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 xml:space="preserve">Ato </w:t>
                              </w:r>
                              <w:proofErr w:type="spell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Cotepe</w:t>
                              </w:r>
                              <w:proofErr w:type="spell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/ICMS nº </w:t>
                              </w:r>
                              <w:hyperlink r:id="rId60" w:anchor="fe+ato+cotepe-icms+9+2008" w:tgtFrame="_parent" w:history="1">
                                <w:r w:rsidRPr="0074217A">
                                  <w:rPr>
                                    <w:rFonts w:ascii="Verdana" w:eastAsia="Times New Roman" w:hAnsi="Verdana" w:cs="Tahoma"/>
                                    <w:b/>
                                    <w:bCs/>
                                    <w:color w:val="333333"/>
                                    <w:spacing w:val="15"/>
                                    <w:sz w:val="20"/>
                                    <w:szCs w:val="20"/>
                                    <w:u w:val="single"/>
                                    <w:bdr w:val="none" w:sz="0" w:space="0" w:color="auto" w:frame="1"/>
                                    <w:lang w:eastAsia="pt-BR"/>
                                  </w:rPr>
                                  <w:t>9/2008</w:t>
                                </w:r>
                              </w:hyperlink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</w:t>
                              </w:r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);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13" w:name="pcicpr-05612-apuração_de_icms_próprio"/>
            <w:bookmarkEnd w:id="13"/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rHeight w:val="18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pt-BR"/>
                    </w:rPr>
                  </w:pPr>
                </w:p>
              </w:tc>
            </w:tr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  <w:t>Apuração de ICMS Próprio</w:t>
                  </w:r>
                </w:p>
              </w:tc>
            </w:tr>
          </w:tbl>
          <w:p w:rsidR="0074217A" w:rsidRPr="0074217A" w:rsidRDefault="0074217A" w:rsidP="0074217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1"/>
              <w:gridCol w:w="5982"/>
              <w:gridCol w:w="7347"/>
            </w:tblGrid>
            <w:tr w:rsidR="0074217A" w:rsidRPr="0074217A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Código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Descrição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Ajuste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PR020021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Outros créditos; Ativo imobilizado (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Ciap</w:t>
                  </w:r>
                  <w:proofErr w:type="spellEnd"/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Gerar um Registro E111, informando no campo 04 o valor apurado em todos os formulários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Ciap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, para o respectivo mês.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PR010022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Estorno de créditos; Ativo imobilizado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E111, informando no campo 04 o valor a ser estornado referente a ativo imobilizado, para o respectivo mês.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PR020041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Outros créditos; Material de uso e consumo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E111, informando no campo 04, quando permitido, o valor referente a crédito de material de uso e consumo, para o respectivo mês.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PR010042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Estorno de créditos; Material de uso e consumo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E111, informando no campo 04 o valor a ser estornado referente ao material de uso e consumo, para o respectivo mês.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PR020061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 xml:space="preserve">ICMS; Outros créditos; Transferência entre 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centralizado/centralizador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1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 Gerar um Registro E111, informando no campo 04 o valor: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1.1) do débito transferido pelo estabelecimento centralizado para o estabelecimento centralizador;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1.2) do crédito recebido pelo estabelecimento centralizador transferido pelo estabelecimento centralizado;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2) Gerar um Registro tipo E113, para cada documento fiscal relacionado ao ajuste.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PR000062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Outros débitos; Transferência entre centralizado/centralizador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 Gerar um Registro E111, informando no campo 04 o valor: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1.1) do crédito transferido pelo estabelecimento centralizado para o estabelecimento centralizador;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1.2) do débito recebido pelo estabelecimento centralizador transferido pelo estabelecimento centralizado;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2) Gerar um Registro tipo E113, para cada documento fiscal relacionado ao ajuste.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PR020071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Outros créditos; Transferência recebida de saldo acumulado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 Gerar um Registro E111, informando no campo 04 o crédito acumulado recebido.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2) Gerar um Registro tipo E113, para cada documento fiscal relacionado ao ajuste.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PR000072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ICMS; Outros débitos; Transferência realizada de saldo acumulado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1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 Gerar um Registro E111, informando no campo 04 o crédito acumulado transferido.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2) Gerar um Registro tipo E113, para cada documento fiscal relacionado ao ajuste.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PR000081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Outros débitos; Diferencial de alíquota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 Gerar um Registro E111, informando no campo 04 os valores devidos referente a diferencial de alíquota.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2) Gerar um Registro tipo E113, para cada documento fiscal relacionado ao ajuste.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PR009999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Outros débitos;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E111, informando no campo 04 o valor referente a outros débitos não previstos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PR019999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Estorno de créditos;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E111, informando no campo 04 o valor referente a estorno de créditos não previstos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PR029999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Outros créditos;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E111, informando no campo 04 o valor referente a outros créditos não previstos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PR039999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Estorno de débitos;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E111, informando no campo 04 o valor referente a estorno de débitos não previstos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PR049999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Deduções do imposto apurado;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E111, informando no campo 04 o valor referente a deduções do imposto apurado não previstos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PR059999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Débito especial;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E111, informando no campo 04 o valor referente ao débito especial não previsto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PR020168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Outros créditos; Imposto postergado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E111, informando no campo 04 o valor do imposto com direito à postergação do pagamento.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PR000158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Outros débitos; Imposto postergado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 Gerar um Registro E111, informando no campo 04 o valor do imposto com direito à postergação do pagamento.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2) Gerar um Registro tipo E113, para cada documento fiscal relacionado ao ajuste.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PR020068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ICMS; Outros créditos; Imposto recolhido antecipadamente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 Gerar um Registro E111, informando no campo 04 o valor do imposto recolhido antecipadamente.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2) Gerar um Registro tipo E112, para cada documento fiscal relacionado ao ajuste.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PR023050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 xml:space="preserve">ICMS: Ajuste a crédito referente ao valor do ICMS incremental a ser transportado para a GIA-ICMS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da inscrição auxiliar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Gerar um Registro E111, informando no campo 04 o valor do imposto com direito à postergação do pagamento, declarado no campo 58 da GIA-ICMS da inscrição auxiliar.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14" w:name="pcicpr-05612-apuração_de_icms_-_substitu"/>
            <w:bookmarkEnd w:id="14"/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rHeight w:val="18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pt-BR"/>
                    </w:rPr>
                  </w:pPr>
                </w:p>
              </w:tc>
            </w:tr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  <w:t>Apuração de ICMS - Substituição Tributária</w:t>
                  </w:r>
                </w:p>
              </w:tc>
            </w:tr>
          </w:tbl>
          <w:p w:rsidR="0074217A" w:rsidRPr="0074217A" w:rsidRDefault="0074217A" w:rsidP="0074217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1"/>
              <w:gridCol w:w="3537"/>
              <w:gridCol w:w="9792"/>
            </w:tblGrid>
            <w:tr w:rsidR="0074217A" w:rsidRPr="0074217A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Código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Descrição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Ajuste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PR109999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ICMS-ST; Outros débitos;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E220, informando no campo 04 o valor referente a outros débitos não previstos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PR119999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ICMS-ST; Estorno de créditos;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E220, informando no campo 04 o valor referente a estorno de créditos não previstos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PR129999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ICMS-ST; Outros créditos;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E220, informando no campo 04 o valor referente a outros créditos não previstos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PR139999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ICMS-ST; Estorno de débitos;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E220, informando no campo 04 o valor referente a estorno de débitos não previstos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PR149999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ICMS-ST; Deduções do imposto apurado;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E220, informando no campo 04 o valor referente a deduções do imposto apurado não previstos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PR159999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ICMS-ST; Débito especial; Demais casos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Gerar um Registro E220, informando no campo 04 o valor referente ao débito especial não previsto nos demais códigos de ajustes da apuração do ICMS.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.2) tabela de informações adicionais da apuração - valores declaratórios (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subtópico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5.2 do Ato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Cotepe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/ICMS nº </w:t>
                  </w:r>
                  <w:hyperlink r:id="rId61" w:anchor="fe+ato+cotepe-icms+9+2008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) - Os códigos desta tabela não serão utilizados pela Secretaria de Estado da Fazenda do Paraná;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22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.3) tabela de ajustes e informações de valores provenientes de documento fiscal (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subtópico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5.3 do Ato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Cotepe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/ICMS nº </w:t>
                  </w:r>
                  <w:hyperlink r:id="rId62" w:anchor="fe+ato+cotepe-icms+9+2008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);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15" w:name="pcicpr-05612-ajustes_e_informações_-_doc"/>
            <w:bookmarkEnd w:id="15"/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rHeight w:val="18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pt-BR"/>
                    </w:rPr>
                  </w:pPr>
                </w:p>
              </w:tc>
            </w:tr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  <w:t>Ajustes e informações - Documento fiscal</w:t>
                  </w:r>
                </w:p>
              </w:tc>
            </w:tr>
          </w:tbl>
          <w:p w:rsidR="0074217A" w:rsidRPr="0074217A" w:rsidRDefault="0074217A" w:rsidP="0074217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8"/>
              <w:gridCol w:w="5132"/>
              <w:gridCol w:w="7970"/>
            </w:tblGrid>
            <w:tr w:rsidR="0074217A" w:rsidRPr="0074217A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Código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Descrição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Ajuste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74217A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PR20000001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Estorno de débito; Operação própria; Própria; A apurar; Mercadoria; Venda ambulante (CFOP 5103, 6103, 5104, 6104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Quando da emissão de nota fiscal referente a uma operação de venda ambulante, informar nos registros: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a) venda ambulante, utilizando nota fiscal modelo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a.1) C100 e seus respectivos registros "filhos":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a.1.1) a nota fiscal geral das mercadorias remetidas para venda ambulante (CFOP 5414, 6414, 5415, 6415, 5657, 6657, 5904, 6904);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a.1.2) se houver, a nota fiscal de retorno de mercadoria remetida para venda ambulante (CFOP 1414, 2414, 1415, 2415, 1904, 2904);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a.1.3) se houver, a nota fiscal emitida por ocasião da entrega da mercadoria (CFOP 5103, 6103, 5104, 6104);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a.2) se houver, para a nota fiscal relacionada no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subtópico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1.3, informar nos 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registros: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a.2.1) C195 - campo 03, o seguinte texto: "Venda efetuada fora do estabelecimento";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a.2.2) C197, os itens da nota fiscal, indicando no campo 02 o código PR20000001;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b) venda ambulante utilizando nota fiscal modelo 2 ou Cupom Fiscal: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b.1) C100 e seus respectivos registros "filhos":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b.1.1) a nota fiscal geral das mercadorias remetidas para venda ambulante (CFOP 5414, 6414, 5415, 6415, 5657, 6657, 5904, 6904);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b.1.2) se houver, a nota fiscal de retorno de mercadoria remetida para venda ambulante (CFOP 1414, 2414, 1415, 2415, 1904, 2904);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b.2) se houver, no Registro C300 ou no Registro C400 e seus respectivos registros "filhos", os totais dos documentos fiscais emitidos por ocasião da entrega da mercadoria;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b.3) se houver, para os documentos fiscais emitidos por ocasião da entrega da mercadoria, informados no Registro C300 ou no Registro C400 e seus respectivos "filhos", informar nos registros: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b.3.1) E111 - campo 04, o valor do imposto dos documentos fiscais emitidos por ocasião da entrega da mercadoria, utilizando o código PR039999;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b.3.2) E113, informar o documento fiscal emitido por ocasião da entrega da mercadoria.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74217A" w:rsidRPr="0074217A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PR20000002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 xml:space="preserve">Estorno de débito; Operação própria; Própria; A apurar; Mercadoria; Nota fiscal concomitante com 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Cupom Fiscal (CFOP 5929, 6929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Quando da emissão de uma nota fiscal referente a uma operação, para a qual já tenha sido emitido um Cupom Fiscal, informar nos registros: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1) C100 e seus respectivos registros "filhos", quando obrigatórios, a nota fiscal emitida;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2) C195 - campo 03, o seguinte texto: "Lançamento efetuado em decorrência de emissão de documento fiscal relativo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operação ou prestação também registrada em equipamento emissor de Cupom Fiscal - ECF";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3) C197, os itens da nota fiscal, indicando no campo 02, o código PR20000002;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4) C114, os dados do Cupom Fiscal relacionado à nota fiscal emitida;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5) C400, e seus respectivos registros "filhos", os dados do Cupom Fiscal para o qual também foi emitida a nota fiscal.</w:t>
                  </w:r>
                  <w:r w:rsidRPr="0074217A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.4) tabela de código das obrigações de ICMS a recolher (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subtópico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5.4 do Ato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Cotepe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/ICMS nº </w:t>
                  </w:r>
                  <w:hyperlink r:id="rId63" w:anchor="fe+ato+cotepe-icms+9+2008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 ) - Será utilizada a tabela que consta nesse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subtópico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;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.5) tabela de tipos de utilização dos créditos fiscais - ICMS (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subtópico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5.5 do Ato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Cotepe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/ICMS nº </w:t>
                  </w:r>
                  <w:hyperlink r:id="rId64" w:anchor="fe+ato+cotepe-icms+9+2008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). Os códigos desta tabela não serão utilizados pela Secretaria de Estado da Fazenda do Paraná.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16" w:name="pcicpr-05612-4.3.2"/>
            <w:bookmarkEnd w:id="1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5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4.3.2 Validação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digital da EFD, cuja geração é de responsabilidade do contribuinte, deverá ser submetido à validação de consistência de leiaute mediante uso do PVA-EFD, disponibilizado por meio de download no ambiente nacional do Sped, o qual poderá ser acessado por meio da Internet, no site www.fazenda.pr.gov.br.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 validação de consistência de leiaute do arquivo restringe-se à consonância da estrutura lógica do arquivo gerado pelo contribuinte com as orientações e especificações técnicas do leiaute do arquivo digital da EFD definidas em ato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Cotepe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e a consistência aritmética 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e lógica das informações prestadas.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PVA-EFD também deverá ser utilizado para a assinatura digital e para o envio do arquivo por meio da Internet, sendo este procedimento de validação e assinatura efetuado antes do envio do arquivo ao ambiente nacional do Sped.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hyperlink r:id="rId66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art. </w:t>
                  </w:r>
                  <w:hyperlink r:id="rId67" w:anchor="es-pr+d+7871+2017@art386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386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17" w:name="pcicpr-05612-4.3.3"/>
            <w:bookmarkEnd w:id="17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8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4.3.3 Prazo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91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digital da EFD deverá ser enviado até o dia 12 do mês subsequente ao do encerramento do mês da apuração.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hyperlink r:id="rId69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art. </w:t>
                  </w:r>
                  <w:hyperlink r:id="rId70" w:anchor="es-pr+d+7871+2017@art382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382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18" w:name="pcicpr-05612-4.4"/>
            <w:bookmarkEnd w:id="1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71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4.4 Recepção e processamento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9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processamento da recepção do arquivo digital da EFD compreenderá, no mínimo, as verificações: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"/>
                    <w:gridCol w:w="9885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dos dados cadastrais do declarante;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"/>
                    <w:gridCol w:w="9885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da autoria, autenticidade e validade da assinatura digital;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"/>
                    <w:gridCol w:w="9885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da integridade do arquivo;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"/>
                    <w:gridCol w:w="9885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da existência de arquivo já recepcionado para o mesmo período de referência;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"/>
                    <w:gridCol w:w="9885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da versão do PVA-EFD e tabelas utilizadas.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Depois de efetuadas as verificações, será automaticamente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expedida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pela administração tributária, por meio do PVA-EFD, comunicação ao respectivo declarante quanto à ocorrência de um dos seguintes eventos: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falha ou recusa na recepção, hipótese em que a causa será informada;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regular recepção do arquivo, hipótese em que será emitido recibo de entrega, nos termos do </w:t>
                        </w:r>
                        <w:hyperlink r:id="rId72" w:anchor="es-pr+d+7871+2017" w:tgtFrame="_parent" w:history="1">
                          <w:r w:rsidRPr="0074217A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RICMS-PR/2017</w:t>
                          </w:r>
                        </w:hyperlink>
                        <w:proofErr w:type="gram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,</w:t>
                        </w:r>
                        <w:proofErr w:type="gram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art. </w:t>
                        </w:r>
                        <w:hyperlink r:id="rId73" w:anchor="es-pr+d+7871+2017@art390" w:tgtFrame="_parent" w:history="1">
                          <w:r w:rsidRPr="0074217A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390</w:t>
                          </w:r>
                        </w:hyperlink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, parágrafo único.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25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 xml:space="preserve">Serão considerados escriturados os livros citados no tópico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no momento em que for emitido o recibo de entrega.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análise do arquivo digital entregue, o Fisco se pautará, ainda, pelas regras explicitadas nos itens 38 a 47 da Norma de Procedimento Fiscal (NPF) nº 56/2015.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hyperlink r:id="rId74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art. </w:t>
                  </w:r>
                  <w:hyperlink r:id="rId75" w:anchor="es-pr+d+7871+2017@art38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387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19" w:name="pcicpr-05612-4.4.1"/>
            <w:bookmarkEnd w:id="1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76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4.4.1 Reconhecimento da veracidade e da legitimidade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regular recepção do arquivo digital da EFD não implicará reconhecimento da veracidade e da legitimidade das informações prestadas, nem homologação da apuração do imposto efetuada pelo contribuinte.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hyperlink r:id="rId77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art. </w:t>
                  </w:r>
                  <w:hyperlink r:id="rId78" w:anchor="es-pr+d+7871+2017@art38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387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§ 3º; Norma de Procedimento Fiscal CRE nº </w:t>
                  </w:r>
                  <w:hyperlink r:id="rId79" w:anchor="es-pr+npf+cre+56+2015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56/2015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art. 33)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74217A" w:rsidRPr="0074217A" w:rsidRDefault="0074217A" w:rsidP="0074217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20" w:name="pcicpr-05612-5"/>
                <w:bookmarkEnd w:id="20"/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"https://www.iobonline.com.br/pages/coreonline/coreonlineDocuments.jsf?il=y&amp;ls=3&amp;docFieldName=destino&amp;docFieldValue=PCICPR-05612" </w:instrTex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5. Irregularidades na EFD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digital da EFD será considerado irregular quando: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apresentar erro na geração do arquivo, não verificado na validação de consistência de leiaute efetuada pelo PVA-EFD e verificado nas consistências efetuadas pela CRE;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apresentar diferença do valor do saldo credor transportado do período anterior;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apresentar diferença entre o valor habilitado no Sistema de Controle da Transferência e Utilização de Créditos Acumulados (</w:t>
                        </w:r>
                        <w:proofErr w:type="spell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Siscred</w:t>
                        </w:r>
                        <w:proofErr w:type="spell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) e o valor declarado no código de ajuste "PR020071" dos registros de ajustes da EFD ou na inexistência do referido código;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apresentar diferença no somatório do Registro E110 e dos valores informados no Registro E111 e transportados para o Registro E110, que não foram considerados pelo PVA-EFD;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a EFD estiver na situação "Em Análise" e o correr o envio de EFD substituta para o mesmo período de referência.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arquivo digital da EFD entregue no ambiente nacional do Sped correspondente a período de referência 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 xml:space="preserve">superior a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6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anos, contados do ano da transmissão, não será considerado.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(Norma de Procedimento Fiscal CRE nº </w:t>
                  </w:r>
                  <w:hyperlink r:id="rId80" w:anchor="es-pr+npf+cre+56+2015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56/2015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itens 19 e 20)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  <w:bookmarkStart w:id="21" w:name="pcicpr-05612-5.1"/>
            <w:bookmarkEnd w:id="21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81" w:history="1">
                    <w:r w:rsidRPr="0074217A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5.1 Retificação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da EFD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contribuinte poderá retificar a EFD relativa ao período de referência para a qual a administração tributária já tenha recepcionado regularmente o respectivo arquivo digital, devendo, para tanto, enviar outro arquivo para substituição integral do arquivo digital da EFD.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geração e o envio do arquivo digital para retificação da EFD deverão observar o descrito neste texto, com indicação da finalidade do arquivo, não sendo permitido o envio de arquivo digital complementar.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contribuinte poderá retificar a EFD mediante envio de outro arquivo para substituição integral do arquivo digital da EFD recebido pelo Fisco (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Ajuste 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Sinief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nº </w:t>
                  </w:r>
                  <w:hyperlink r:id="rId82" w:anchor="fe+ajuste+sinief+11+2012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11/2012</w:t>
                    </w:r>
                  </w:hyperlink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)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observados os seguintes prazos: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até a data fixada para envio da EFD, independentemente de autorização do Fisco;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até o último dia do 3º mês subsequente ao mês da apuração, mediante autorização do Fisco, salvo quando se tratar de envio em atendimento à notificação do Fisco.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Após o último dos prazos anteriormente referidos (letra "b"), mediante autorização do Fisco, nos casos em que houver prova inequívoca da ocorrência de erro de fato no preenchimento da escrituração, quando evidenciada a impossibilidade ou a inconveniência de saneá-lo por meio de lançamentos corretivos.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Não deverá ser apresentado arquivo substituto da EFD quando houver recolhimento em denúncia espontânea de imposto não declarado e para denunciar infração ou nas situações em que couber utilização de crédito extemporâneo, observadas as condições e ressalvas previstas no Regulamento do ICMS.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geração e o envio do arquivo digital para retificação da EFD deverão observar o disposto no Regulamento do ICMS, com a indicação da finalidade do arquivo.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7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Não será permitido o envio de arquivo digital complementar da EFD.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Não produzirá efeitos a substituição do arquivo da EFD: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de período de apuração que tenha sido submetido ou esteja </w:t>
                        </w:r>
                        <w:proofErr w:type="gram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sob ação</w:t>
                        </w:r>
                        <w:proofErr w:type="gram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fiscal, exceto se autorizado por auditor fiscal;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nos casos em que importe alteração do valor do débito constante da EFD objeto da retificação que tenha sido enviado para inscrição em dívida ativa, enquanto estiver em análise;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transmitida em desacordo com o disposto na legislação em vigor.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digital da EFD substituto enviado para o ambiente nacional do Sped e retransmitido à CRE, que, após sua validação, assumir a situação "Regular" implica em reconhecimento que a EFD enviada anteriormente apresentava dados incorretos por culpa exclusiva do contribuinte (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Resolução Conjunta nº 4/2008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-PGE/</w:t>
                  </w:r>
                  <w:proofErr w:type="spell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Sefa</w:t>
                  </w:r>
                  <w:proofErr w:type="spell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);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a apuração do ICMS, será considerado válido o último arquivo digital da EFD, na situação "Regular", apresentado pelo contribuinte.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substituição do arquivo digital da EFD após o último dia do 3º mês subsequente ao da apuração, considerando o dia e a hora da transmissão para o ambiente nacional do Sped, necessita de autorização do Fisco.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solicitação de autorização para substituição do arquivo digital da EFD deve ser realizada por meio do Receita/PR, observando: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o sócio ou o contabilista, usuário do Receita/PR, deverá acessar o serviço "Pedido de Autorização" no </w:t>
                        </w:r>
                        <w:proofErr w:type="gramStart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menu</w:t>
                        </w:r>
                        <w:proofErr w:type="gramEnd"/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"Substituição de EFD" e anexar o arquivo substituto, validado e assinado pelo PVA-EFD;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antes da autorização será efetuada a validação nas situações em que o arquivo: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apresentar diferença do valor do saldo credor transportado do período anterior;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2) apresentar diferença entre o valor habilitado no </w:t>
                              </w:r>
                              <w:proofErr w:type="spell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Siscred</w:t>
                              </w:r>
                              <w:proofErr w:type="spell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e o valor declarado no código de ajuste "PR020071" dos registros de ajustes da EFD ou na inexistência do referido código;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3) apresentar diferença no somatório do Registro E110 e dos valores informados no Registro E111 e transportados para o Registro E110, que não foram considerados pelo PVA-EFD.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Autorizada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solicitação, o contribuinte terá 30 dias para transmitir ao ambiente nacional do Sped o mesmo 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arquivo digital da EFD autorizado pela CRE, sob pena de ter que solicitar uma nova autorização.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Após a retransmissão do ambiente nacional para a CRE, em se verificando uma(s) da(s) hipótese(s) descrita(s):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no subitem 34.2 da </w:t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NPF nº 56/2015</w:t>
                        </w: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, o contribuinte deverá justificar o motivo da substituição do arquivo no Receita/PR, no serviço "Justificativa de EFD";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no subitem 19.1 da NPF nº 56/2015, a EFD será considerada "Irregular".</w:t>
                        </w: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Serão disponibilizadas no Receita/PR informações quanto à tramitação do pedido de substituição do arquivo da EFD.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Após a entrega do arquivo digital substituto da EFD no ambiente nacional do Sped, a substituição será: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deferida automaticamente: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até o último dia do mês de vencimento da EFD, sendo considerada válida a última EFD "Regular" apresentada, independentemente da variação do saldo, credor ou devedor, levando em conta o dia e a hora da transmissão para o ambiente nacional do Sped;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2) quando existir inscrição em dívida ativa, ou parcelamento do débito declarado na EFD, do mesmo período do arquivo substituto, para aumento do saldo devedor;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3) quando resultar alteração do saldo devedor para maior ou de saldo credor para menor;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4) quando resultar alteração de saldo devedor para menor ou de saldo credor para maior, desde que a variação entre o saldo do arquivo digital da primeira EFD regular e o saldo do arquivo substituto seja de até R$ 20.000,00 e não tenha dívida ativa ou parcelamento para o mês de referência;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74217A" w:rsidRPr="0074217A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74217A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submetida à análise do Fisco quando: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houver Comando de Auditoria Fiscal (CAF) - em execução para o mesmo mês de referência da EFD;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2) houver Ordem de Serviço Fiscal (OSF) - em execução para as seguintes tarefas relacionadas na Tabela de Tarefas da Resolução nº 131/2002: 1113, 1609, 2002, 2003, 2004, 2005, 2028, 2040, 2043 e 3014;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3) a substituição do arquivo digital da EFD resultar aumento de saldo credor ou diminuição de saldo devedor, desde que a diferença entre o saldo da primeira EFD regular e o saldo do arquivo substituto da EFD seja superior a R$ 20.000,00;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4) o ICMS declarado na EFD do mês de referência estiver parcelado ou inscrito em dívida ativa e houver diminuição do saldo devedor;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5) houver estabelecimentos que recebam em transferência créditos habilitados no </w:t>
                              </w:r>
                              <w:proofErr w:type="spell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Siscred</w:t>
                              </w:r>
                              <w:proofErr w:type="spell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;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74217A" w:rsidRPr="0074217A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74217A" w:rsidRPr="0074217A" w:rsidRDefault="0074217A" w:rsidP="0074217A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74217A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6) tratar de contribuintes que recebem incentivos fiscais de qualquer natureza para implantação ou expansão de atividades no Estado do Paraná e possuam inscrições auxiliares com dilação de prazo de pagamento do imposto.</w:t>
                              </w:r>
                            </w:p>
                          </w:tc>
                        </w:tr>
                      </w:tbl>
                      <w:p w:rsidR="0074217A" w:rsidRPr="0074217A" w:rsidRDefault="0074217A" w:rsidP="0074217A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Na hipótese de o arquivo digital da EFD estar na situação "Em Análise", o sócio ou o contabilista, usuário do Receita/PR, deverá acessar o serviço "Justificativa de EFD" no </w:t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"Substituição de EFD" e informar, de forma clara e objetiva, o(s) motivo(s) da substituição.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hipótese de o arquivo digital da EFD estar na situação "Irregular", o sócio ou o contabilista, usuário do Receita/PR, deverá providenciar o envio de novo arquivo digital da EFD.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hyperlink r:id="rId83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art. </w:t>
                  </w:r>
                  <w:hyperlink r:id="rId84" w:anchor="es-pr+d+7871+2017@art388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388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; Norma de Procedimento Fiscal CRE nº </w:t>
                  </w:r>
                  <w:hyperlink r:id="rId85" w:anchor="es-pr+npf+cre+56+2015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56/2015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itens 21 a 37)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74217A" w:rsidRPr="0074217A" w:rsidRDefault="0074217A" w:rsidP="0074217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22" w:name="pcicpr-05612-6"/>
                <w:bookmarkEnd w:id="22"/>
                <w:p w:rsidR="0074217A" w:rsidRPr="0074217A" w:rsidRDefault="0074217A" w:rsidP="007421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"https://www.iobonline.com.br/pages/coreonline/coreonlineDocuments.jsf?il=y&amp;ls=3&amp;docFieldName=destino&amp;docFieldValue=PCICPR-05612" </w:instrTex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74217A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6. Guarda das informações relativas à EFD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contribuinte deverá, observados os requisitos de segurança, autenticidade, integridade e validade jurídica, conservar pelo menos uma cópia do arquivo digital da EFD regularmente recepcionado pela administração tributária, pelo prazo da prescrição dos créditos tributários decorrentes das operações ou prestações a que se refiram, conforme o </w:t>
                  </w:r>
                  <w:hyperlink r:id="rId86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,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art. </w:t>
                  </w:r>
                  <w:hyperlink r:id="rId87" w:anchor="es-pr+d+7871+2017@art175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175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, parágrafo único (mínimo de 5 anos).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Todos os documentos contábeis e fiscais relacionados à EFD, independentemente de terem existência física ou digital, deverão ser conservados pelo contribuinte pelo mesmo prazo. </w:t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hyperlink r:id="rId88" w:anchor="es-pr+d+7871+2017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RICMS-PR/2017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art. </w:t>
                  </w:r>
                  <w:hyperlink r:id="rId89" w:anchor="es-pr+d+7871+2017@art385" w:tgtFrame="_parent" w:history="1">
                    <w:r w:rsidRPr="0074217A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385</w:t>
                    </w:r>
                  </w:hyperlink>
                  <w:r w:rsidRPr="0074217A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74217A" w:rsidRPr="0074217A" w:rsidRDefault="0074217A" w:rsidP="0074217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74217A" w:rsidRPr="0074217A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74217A" w:rsidRPr="0074217A" w:rsidRDefault="0074217A" w:rsidP="0074217A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hd w:val="clear" w:color="auto" w:fill="ECECEC"/>
                    <w:spacing w:before="225" w:after="225" w:line="240" w:lineRule="auto"/>
                    <w:outlineLvl w:val="3"/>
                    <w:rPr>
                      <w:rFonts w:ascii="Tahoma" w:eastAsia="Times New Roman" w:hAnsi="Tahoma" w:cs="Tahoma"/>
                      <w:b/>
                      <w:bCs/>
                      <w:color w:val="666666"/>
                      <w:spacing w:val="15"/>
                      <w:sz w:val="20"/>
                      <w:szCs w:val="20"/>
                      <w:lang w:eastAsia="pt-BR"/>
                    </w:rPr>
                  </w:pPr>
                  <w:r w:rsidRPr="0074217A">
                    <w:rPr>
                      <w:rFonts w:ascii="Tahoma" w:eastAsia="Times New Roman" w:hAnsi="Tahoma" w:cs="Tahoma"/>
                      <w:b/>
                      <w:bCs/>
                      <w:color w:val="666666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Legislação Referenciada</w:t>
                  </w:r>
                </w:p>
              </w:tc>
            </w:tr>
          </w:tbl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74217A" w:rsidRPr="0074217A" w:rsidTr="007421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4217A" w:rsidRPr="0074217A" w:rsidRDefault="0074217A" w:rsidP="00742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 xml:space="preserve">Ajuste </w:t>
            </w:r>
            <w:proofErr w:type="spellStart"/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Sinief</w:t>
            </w:r>
            <w:proofErr w:type="spellEnd"/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 xml:space="preserve"> nº </w:t>
            </w:r>
            <w:hyperlink r:id="rId90" w:anchor="fe+ajuste+sinief+11+2012" w:tgtFrame="_parent" w:history="1">
              <w:r w:rsidRPr="0074217A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11/2012</w:t>
              </w:r>
            </w:hyperlink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 xml:space="preserve">Ajuste </w:t>
            </w:r>
            <w:proofErr w:type="spellStart"/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Sinief</w:t>
            </w:r>
            <w:proofErr w:type="spellEnd"/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 xml:space="preserve"> nº </w:t>
            </w:r>
            <w:hyperlink r:id="rId91" w:anchor="fe+ajuste+sinief+2+2009" w:tgtFrame="_parent" w:history="1">
              <w:r w:rsidRPr="0074217A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2/2009</w:t>
              </w:r>
            </w:hyperlink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 xml:space="preserve">Ato </w:t>
            </w:r>
            <w:proofErr w:type="spellStart"/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Cotepe</w:t>
            </w:r>
            <w:proofErr w:type="spellEnd"/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/ICMS nº </w:t>
            </w:r>
            <w:hyperlink r:id="rId92" w:anchor="fe+ato+cotepe-icms+9+2008" w:tgtFrame="_parent" w:history="1">
              <w:r w:rsidRPr="0074217A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9/2008</w:t>
              </w:r>
            </w:hyperlink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Convênio ICMS nº </w:t>
            </w:r>
            <w:hyperlink r:id="rId93" w:anchor="fe+conv+icms+143+2006" w:tgtFrame="_parent" w:history="1">
              <w:r w:rsidRPr="0074217A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143/2006</w:t>
              </w:r>
            </w:hyperlink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Decreto nº </w:t>
            </w:r>
            <w:hyperlink r:id="rId94" w:anchor="fe+d+6022+2007" w:tgtFrame="_parent" w:history="1">
              <w:r w:rsidRPr="0074217A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6.022/2007</w:t>
              </w:r>
            </w:hyperlink>
            <w:hyperlink r:id="rId95" w:anchor="es-pr+d+7871+2017" w:tgtFrame="_parent" w:history="1">
              <w:r w:rsidRPr="0074217A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RICMS-PR/2017</w:t>
              </w:r>
            </w:hyperlink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NPF nº 56/</w:t>
            </w:r>
            <w:proofErr w:type="gramStart"/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2015Norma</w:t>
            </w:r>
            <w:proofErr w:type="gramEnd"/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 xml:space="preserve"> de Procedimento Fiscal CRE nº </w:t>
            </w:r>
            <w:hyperlink r:id="rId96" w:anchor="es-pr+npf+cre+112+2008" w:tgtFrame="_parent" w:history="1">
              <w:r w:rsidRPr="0074217A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112/2008</w:t>
              </w:r>
            </w:hyperlink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Norma de Procedimento Fiscal CRE nº </w:t>
            </w:r>
            <w:hyperlink r:id="rId97" w:anchor="es-pr+npf+cre+56+2015" w:tgtFrame="_parent" w:history="1">
              <w:r w:rsidRPr="0074217A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56/2015</w:t>
              </w:r>
            </w:hyperlink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Protocolo ICMS nº </w:t>
            </w:r>
            <w:hyperlink r:id="rId98" w:anchor="fe+prot+icms+3+2011" w:tgtFrame="_parent" w:history="1">
              <w:r w:rsidRPr="0074217A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3/2011</w:t>
              </w:r>
            </w:hyperlink>
            <w:r w:rsidRPr="0074217A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Resolução Conjunta nº 4/2008</w:t>
            </w:r>
          </w:p>
        </w:tc>
      </w:tr>
    </w:tbl>
    <w:p w:rsidR="00BF295B" w:rsidRDefault="00BF295B"/>
    <w:sectPr w:rsidR="00BF295B" w:rsidSect="0074217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17A"/>
    <w:rsid w:val="0074217A"/>
    <w:rsid w:val="00B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7421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74217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74217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74217A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74217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74217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4217A"/>
    <w:rPr>
      <w:color w:val="800080"/>
      <w:u w:val="single"/>
    </w:rPr>
  </w:style>
  <w:style w:type="paragraph" w:customStyle="1" w:styleId="sumario">
    <w:name w:val="sumario"/>
    <w:basedOn w:val="Normal"/>
    <w:rsid w:val="00742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abelatexto">
    <w:name w:val="tabelatexto"/>
    <w:basedOn w:val="Fontepargpadro"/>
    <w:rsid w:val="0074217A"/>
  </w:style>
  <w:style w:type="character" w:customStyle="1" w:styleId="txtopico">
    <w:name w:val="tx_topico"/>
    <w:basedOn w:val="Fontepargpadro"/>
    <w:rsid w:val="0074217A"/>
  </w:style>
  <w:style w:type="character" w:customStyle="1" w:styleId="textocinzaescuro">
    <w:name w:val="textocinzaescuro"/>
    <w:basedOn w:val="Fontepargpadro"/>
    <w:rsid w:val="0074217A"/>
  </w:style>
  <w:style w:type="character" w:customStyle="1" w:styleId="tabelatitulo">
    <w:name w:val="tabelatitulo"/>
    <w:basedOn w:val="Fontepargpadro"/>
    <w:rsid w:val="0074217A"/>
  </w:style>
  <w:style w:type="character" w:customStyle="1" w:styleId="legref">
    <w:name w:val="legref"/>
    <w:basedOn w:val="Fontepargpadro"/>
    <w:rsid w:val="0074217A"/>
  </w:style>
  <w:style w:type="paragraph" w:styleId="Textodebalo">
    <w:name w:val="Balloon Text"/>
    <w:basedOn w:val="Normal"/>
    <w:link w:val="TextodebaloChar"/>
    <w:uiPriority w:val="99"/>
    <w:semiHidden/>
    <w:unhideWhenUsed/>
    <w:rsid w:val="00742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21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7421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74217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74217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74217A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74217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74217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4217A"/>
    <w:rPr>
      <w:color w:val="800080"/>
      <w:u w:val="single"/>
    </w:rPr>
  </w:style>
  <w:style w:type="paragraph" w:customStyle="1" w:styleId="sumario">
    <w:name w:val="sumario"/>
    <w:basedOn w:val="Normal"/>
    <w:rsid w:val="00742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abelatexto">
    <w:name w:val="tabelatexto"/>
    <w:basedOn w:val="Fontepargpadro"/>
    <w:rsid w:val="0074217A"/>
  </w:style>
  <w:style w:type="character" w:customStyle="1" w:styleId="txtopico">
    <w:name w:val="tx_topico"/>
    <w:basedOn w:val="Fontepargpadro"/>
    <w:rsid w:val="0074217A"/>
  </w:style>
  <w:style w:type="character" w:customStyle="1" w:styleId="textocinzaescuro">
    <w:name w:val="textocinzaescuro"/>
    <w:basedOn w:val="Fontepargpadro"/>
    <w:rsid w:val="0074217A"/>
  </w:style>
  <w:style w:type="character" w:customStyle="1" w:styleId="tabelatitulo">
    <w:name w:val="tabelatitulo"/>
    <w:basedOn w:val="Fontepargpadro"/>
    <w:rsid w:val="0074217A"/>
  </w:style>
  <w:style w:type="character" w:customStyle="1" w:styleId="legref">
    <w:name w:val="legref"/>
    <w:basedOn w:val="Fontepargpadro"/>
    <w:rsid w:val="0074217A"/>
  </w:style>
  <w:style w:type="paragraph" w:styleId="Textodebalo">
    <w:name w:val="Balloon Text"/>
    <w:basedOn w:val="Normal"/>
    <w:link w:val="TextodebaloChar"/>
    <w:uiPriority w:val="99"/>
    <w:semiHidden/>
    <w:unhideWhenUsed/>
    <w:rsid w:val="00742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21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3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obonline.com.br/pages/coreonline/coreonlineDocuments.jsf?il=y&amp;ls=3&amp;docFieldName=destino&amp;docFieldValue=fe+ajuste+sinief+2+2009" TargetMode="External"/><Relationship Id="rId21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34" Type="http://schemas.openxmlformats.org/officeDocument/2006/relationships/hyperlink" Target="https://www.iobonline.com.br/pages/coreonline/coreonlineDocuments.jsf?il=y&amp;ls=3&amp;docFieldName=destino&amp;docFieldValue=es-pr+d+7871+2017@art381" TargetMode="External"/><Relationship Id="rId42" Type="http://schemas.openxmlformats.org/officeDocument/2006/relationships/hyperlink" Target="https://www.iobonline.com.br/pages/coreonline/coreonlineDocuments.jsf?il=y&amp;ls=3&amp;docFieldName=destino&amp;docFieldValue=es-pr+d+7871+2017@art380" TargetMode="External"/><Relationship Id="rId47" Type="http://schemas.openxmlformats.org/officeDocument/2006/relationships/hyperlink" Target="https://www.iobonline.com.br/pages/coreonline/coreonlineDocuments.jsf?il=y&amp;ls=3&amp;docFieldName=destino&amp;docFieldValue=es-pr+d+7871+2017@art378" TargetMode="External"/><Relationship Id="rId50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55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63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68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76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84" Type="http://schemas.openxmlformats.org/officeDocument/2006/relationships/hyperlink" Target="https://www.iobonline.com.br/pages/coreonline/coreonlineDocuments.jsf?il=y&amp;ls=3&amp;docFieldName=destino&amp;docFieldValue=es-pr+d+7871+2017@art388" TargetMode="External"/><Relationship Id="rId89" Type="http://schemas.openxmlformats.org/officeDocument/2006/relationships/hyperlink" Target="https://www.iobonline.com.br/pages/coreonline/coreonlineDocuments.jsf?il=y&amp;ls=3&amp;docFieldName=destino&amp;docFieldValue=es-pr+d+7871+2017@art385" TargetMode="External"/><Relationship Id="rId97" Type="http://schemas.openxmlformats.org/officeDocument/2006/relationships/hyperlink" Target="https://www.iobonline.com.br/pages/coreonline/coreonlineDocuments.jsf?il=y&amp;ls=3&amp;docFieldName=destino&amp;docFieldValue=es-pr+npf+cre+56+2015" TargetMode="External"/><Relationship Id="rId7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71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92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29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11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24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32" Type="http://schemas.openxmlformats.org/officeDocument/2006/relationships/hyperlink" Target="https://www.iobonline.com.br/pages/coreonline/coreonlineDocuments.jsf?il=y&amp;ls=3&amp;docFieldName=destino&amp;docFieldValue=fe+prot+icms+3+2011" TargetMode="External"/><Relationship Id="rId37" Type="http://schemas.openxmlformats.org/officeDocument/2006/relationships/hyperlink" Target="https://www.iobonline.com.br/pages/coreonline/coreonlineDocuments.jsf?il=y&amp;ls=3&amp;docFieldName=destino&amp;docFieldValue=es-pr+npf+cre+56+2015" TargetMode="External"/><Relationship Id="rId40" Type="http://schemas.openxmlformats.org/officeDocument/2006/relationships/image" Target="media/image1.png"/><Relationship Id="rId45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53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58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66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74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79" Type="http://schemas.openxmlformats.org/officeDocument/2006/relationships/hyperlink" Target="https://www.iobonline.com.br/pages/coreonline/coreonlineDocuments.jsf?il=y&amp;ls=3&amp;docFieldName=destino&amp;docFieldValue=es-pr+npf+cre+56+2015" TargetMode="External"/><Relationship Id="rId87" Type="http://schemas.openxmlformats.org/officeDocument/2006/relationships/hyperlink" Target="https://www.iobonline.com.br/pages/coreonline/coreonlineDocuments.jsf?il=y&amp;ls=3&amp;docFieldName=destino&amp;docFieldValue=es-pr+d+7871+2017@art175" TargetMode="External"/><Relationship Id="rId5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61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82" Type="http://schemas.openxmlformats.org/officeDocument/2006/relationships/hyperlink" Target="https://www.iobonline.com.br/pages/coreonline/coreonlineDocuments.jsf?il=y&amp;ls=3&amp;docFieldName=destino&amp;docFieldValue=fe+ajuste+sinief+11+2012" TargetMode="External"/><Relationship Id="rId90" Type="http://schemas.openxmlformats.org/officeDocument/2006/relationships/hyperlink" Target="https://www.iobonline.com.br/pages/coreonline/coreonlineDocuments.jsf?il=y&amp;ls=3&amp;docFieldName=destino&amp;docFieldValue=fe+ajuste+sinief+11+2012" TargetMode="External"/><Relationship Id="rId95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19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14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22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27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30" Type="http://schemas.openxmlformats.org/officeDocument/2006/relationships/hyperlink" Target="https://www.iobonline.com.br/pages/coreonline/coreonlineDocuments.jsf?il=y&amp;ls=3&amp;docFieldName=destino&amp;docFieldValue=es-pr+d+7871+2017@art378" TargetMode="External"/><Relationship Id="rId35" Type="http://schemas.openxmlformats.org/officeDocument/2006/relationships/hyperlink" Target="https://www.iobonline.com.br/pages/coreonline/coreonlineDocuments.jsf?il=y&amp;ls=3&amp;docFieldName=destino&amp;docFieldValue=es-pr+npf+cre+56+2015" TargetMode="External"/><Relationship Id="rId43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48" Type="http://schemas.openxmlformats.org/officeDocument/2006/relationships/hyperlink" Target="https://www.iobonline.com.br/pages/coreonline/coreonlineDocuments.jsf?il=y&amp;ls=3&amp;docFieldName=destino&amp;docFieldValue=es-pr+d+7871+2017@art384" TargetMode="External"/><Relationship Id="rId56" Type="http://schemas.openxmlformats.org/officeDocument/2006/relationships/hyperlink" Target="https://www.iobonline.com.br/pages/coreonline/coreonlineDocuments.jsf?il=y&amp;ls=3&amp;docFieldName=destino&amp;docFieldValue=es-pr+d+7871+2017@art384" TargetMode="External"/><Relationship Id="rId6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69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77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51" Type="http://schemas.openxmlformats.org/officeDocument/2006/relationships/hyperlink" Target="https://www.iobonline.com.br/pages/coreonline/coreonlineDocuments.jsf?il=y&amp;ls=3&amp;docFieldName=destino&amp;docFieldValue=es-pr+d+7871+2017@art383" TargetMode="External"/><Relationship Id="rId72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80" Type="http://schemas.openxmlformats.org/officeDocument/2006/relationships/hyperlink" Target="https://www.iobonline.com.br/pages/coreonline/coreonlineDocuments.jsf?il=y&amp;ls=3&amp;docFieldName=destino&amp;docFieldValue=es-pr+npf+cre+56+2015" TargetMode="External"/><Relationship Id="rId85" Type="http://schemas.openxmlformats.org/officeDocument/2006/relationships/hyperlink" Target="https://www.iobonline.com.br/pages/coreonline/coreonlineDocuments.jsf?il=y&amp;ls=3&amp;docFieldName=destino&amp;docFieldValue=es-pr+npf+cre+56+2015" TargetMode="External"/><Relationship Id="rId93" Type="http://schemas.openxmlformats.org/officeDocument/2006/relationships/hyperlink" Target="https://www.iobonline.com.br/pages/coreonline/coreonlineDocuments.jsf?il=y&amp;ls=3&amp;docFieldName=destino&amp;docFieldValue=fe+conv+icms+143+2006" TargetMode="External"/><Relationship Id="rId98" Type="http://schemas.openxmlformats.org/officeDocument/2006/relationships/hyperlink" Target="https://www.iobonline.com.br/pages/coreonline/coreonlineDocuments.jsf?il=y&amp;ls=3&amp;docFieldName=destino&amp;docFieldValue=fe+prot+icms+3+201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17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25" Type="http://schemas.openxmlformats.org/officeDocument/2006/relationships/hyperlink" Target="https://www.iobonline.com.br/pages/coreonline/coreonlineDocuments.jsf?il=y&amp;ls=3&amp;docFieldName=destino&amp;docFieldValue=fe+conv+icms+143+2006" TargetMode="External"/><Relationship Id="rId33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38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46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59" Type="http://schemas.openxmlformats.org/officeDocument/2006/relationships/hyperlink" Target="https://www.iobonline.com.br/pages/coreonline/coreonlineDocuments.jsf?il=y&amp;ls=3&amp;docFieldName=destino&amp;docFieldValue=es-pr+npf+cre+112+2008" TargetMode="External"/><Relationship Id="rId67" Type="http://schemas.openxmlformats.org/officeDocument/2006/relationships/hyperlink" Target="https://www.iobonline.com.br/pages/coreonline/coreonlineDocuments.jsf?il=y&amp;ls=3&amp;docFieldName=destino&amp;docFieldValue=es-pr+d+7871+2017@art386" TargetMode="External"/><Relationship Id="rId20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41" Type="http://schemas.openxmlformats.org/officeDocument/2006/relationships/hyperlink" Target="https://www.iobonline.com.br/pages/coreonline/coreonlineDocuments.jsf?il=y&amp;ls=3&amp;docFieldName=destino&amp;docFieldValue=es-pr+d+7871+2017@art378" TargetMode="External"/><Relationship Id="rId54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62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70" Type="http://schemas.openxmlformats.org/officeDocument/2006/relationships/hyperlink" Target="https://www.iobonline.com.br/pages/coreonline/coreonlineDocuments.jsf?il=y&amp;ls=3&amp;docFieldName=destino&amp;docFieldValue=es-pr+d+7871+2017@art382" TargetMode="External"/><Relationship Id="rId75" Type="http://schemas.openxmlformats.org/officeDocument/2006/relationships/hyperlink" Target="https://www.iobonline.com.br/pages/coreonline/coreonlineDocuments.jsf?il=y&amp;ls=3&amp;docFieldName=destino&amp;docFieldValue=es-pr+d+7871+2017@art387" TargetMode="External"/><Relationship Id="rId83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88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91" Type="http://schemas.openxmlformats.org/officeDocument/2006/relationships/hyperlink" Target="https://www.iobonline.com.br/pages/coreonline/coreonlineDocuments.jsf?il=y&amp;ls=3&amp;docFieldName=destino&amp;docFieldValue=fe+ajuste+sinief+2+2009" TargetMode="External"/><Relationship Id="rId96" Type="http://schemas.openxmlformats.org/officeDocument/2006/relationships/hyperlink" Target="https://www.iobonline.com.br/pages/coreonline/coreonlineDocuments.jsf?il=y&amp;ls=3&amp;docFieldName=destino&amp;docFieldValue=es-pr+npf+cre+112+2008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15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23" Type="http://schemas.openxmlformats.org/officeDocument/2006/relationships/hyperlink" Target="https://www.iobonline.com.br/pages/coreonline/coreonlineDocuments.jsf?il=y&amp;ls=3&amp;docFieldName=destino&amp;docFieldValue=fe+prot+icms+3+2011" TargetMode="External"/><Relationship Id="rId28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36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49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57" Type="http://schemas.openxmlformats.org/officeDocument/2006/relationships/hyperlink" Target="https://www.iobonline.com.br/pages/coreonline/coreonlineDocuments.jsf?il=y&amp;ls=3&amp;docFieldName=destino&amp;docFieldValue=es-pr+npf+cre+56+2015" TargetMode="External"/><Relationship Id="rId10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31" Type="http://schemas.openxmlformats.org/officeDocument/2006/relationships/hyperlink" Target="https://www.iobonline.com.br/pages/coreonline/coreonlineDocuments.jsf?il=y&amp;ls=3&amp;docFieldName=destino&amp;docFieldValue=es-pr+d+7871+2017@art390" TargetMode="External"/><Relationship Id="rId44" Type="http://schemas.openxmlformats.org/officeDocument/2006/relationships/hyperlink" Target="https://www.iobonline.com.br/pages/coreonline/coreonlineDocuments.jsf?il=y&amp;ls=3&amp;docFieldName=destino&amp;docFieldValue=es-pr+npf+cre+56+2015" TargetMode="External"/><Relationship Id="rId52" Type="http://schemas.openxmlformats.org/officeDocument/2006/relationships/hyperlink" Target="https://www.iobonline.com.br/pages/coreonline/coreonlineDocuments.jsf?il=y&amp;ls=3&amp;docFieldName=destino&amp;docFieldValue=es-pr+d+7871+2017@art389" TargetMode="External"/><Relationship Id="rId60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65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73" Type="http://schemas.openxmlformats.org/officeDocument/2006/relationships/hyperlink" Target="https://www.iobonline.com.br/pages/coreonline/coreonlineDocuments.jsf?il=y&amp;ls=3&amp;docFieldName=destino&amp;docFieldValue=es-pr+d+7871+2017@art390" TargetMode="External"/><Relationship Id="rId78" Type="http://schemas.openxmlformats.org/officeDocument/2006/relationships/hyperlink" Target="https://www.iobonline.com.br/pages/coreonline/coreonlineDocuments.jsf?il=y&amp;ls=3&amp;docFieldName=destino&amp;docFieldValue=es-pr+d+7871+2017@art387" TargetMode="External"/><Relationship Id="rId81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86" Type="http://schemas.openxmlformats.org/officeDocument/2006/relationships/hyperlink" Target="https://www.iobonline.com.br/pages/coreonline/coreonlineDocuments.jsf?il=y&amp;ls=3&amp;docFieldName=destino&amp;docFieldValue=es-pr+d+7871+2017" TargetMode="External"/><Relationship Id="rId94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13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18" Type="http://schemas.openxmlformats.org/officeDocument/2006/relationships/hyperlink" Target="https://www.iobonline.com.br/pages/coreonline/coreonlineDocuments.jsf?il=y&amp;ls=3&amp;docFieldName=destino&amp;docFieldValue=PCICPR-05612" TargetMode="External"/><Relationship Id="rId39" Type="http://schemas.openxmlformats.org/officeDocument/2006/relationships/hyperlink" Target="https://www.iobonline.com.br/pages/coreonline/coreonlineDocuments.jsf?il=y&amp;ls=3&amp;docFieldName=destino&amp;docFieldValue=es-pr+npf+cre+56+2015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8423</Words>
  <Characters>45489</Characters>
  <Application>Microsoft Office Word</Application>
  <DocSecurity>0</DocSecurity>
  <Lines>379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2018-05-23T03:34:00Z</dcterms:created>
  <dcterms:modified xsi:type="dcterms:W3CDTF">2018-05-23T03:34:00Z</dcterms:modified>
</cp:coreProperties>
</file>