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6F0" w:rsidRDefault="009F36F0" w:rsidP="009F36F0">
      <w:pPr>
        <w:spacing w:after="0" w:line="240" w:lineRule="auto"/>
        <w:jc w:val="both"/>
        <w:rPr>
          <w:rFonts w:ascii="Times New Roman" w:eastAsia="Times New Roman" w:hAnsi="Times New Roman" w:cs="Times New Roman"/>
          <w:szCs w:val="24"/>
          <w:lang w:eastAsia="pt-BR"/>
        </w:rPr>
      </w:pPr>
    </w:p>
    <w:p w:rsidR="009F36F0" w:rsidRDefault="009F36F0" w:rsidP="009F36F0">
      <w:pPr>
        <w:spacing w:after="0" w:line="240" w:lineRule="auto"/>
        <w:jc w:val="both"/>
        <w:rPr>
          <w:rFonts w:ascii="Times New Roman" w:eastAsia="Times New Roman" w:hAnsi="Times New Roman" w:cs="Times New Roman"/>
          <w:szCs w:val="24"/>
          <w:lang w:eastAsia="pt-BR"/>
        </w:rPr>
      </w:pPr>
    </w:p>
    <w:p w:rsidR="009F36F0" w:rsidRPr="00690141" w:rsidRDefault="009F36F0" w:rsidP="00FD20B3">
      <w:pPr>
        <w:spacing w:after="0" w:line="360" w:lineRule="auto"/>
        <w:ind w:left="-709"/>
        <w:jc w:val="both"/>
        <w:rPr>
          <w:rFonts w:eastAsia="Times New Roman" w:cs="Arial"/>
          <w:szCs w:val="24"/>
          <w:lang w:eastAsia="pt-BR"/>
        </w:rPr>
      </w:pPr>
      <w:r w:rsidRPr="00690141">
        <w:rPr>
          <w:rFonts w:eastAsia="Times New Roman" w:cs="Arial"/>
          <w:szCs w:val="24"/>
          <w:lang w:eastAsia="pt-BR"/>
        </w:rPr>
        <w:t xml:space="preserve">Fonte   STF   </w:t>
      </w:r>
      <w:hyperlink r:id="rId6" w:history="1">
        <w:r w:rsidRPr="00690141">
          <w:rPr>
            <w:rStyle w:val="Hyperlink"/>
            <w:rFonts w:eastAsia="Times New Roman" w:cs="Arial"/>
            <w:szCs w:val="24"/>
            <w:lang w:eastAsia="pt-BR"/>
          </w:rPr>
          <w:t>http://www.stf.jus.br/portal/constituicao/artigobd.asp?item=%201380</w:t>
        </w:r>
      </w:hyperlink>
      <w:bookmarkStart w:id="0" w:name="_GoBack"/>
      <w:bookmarkEnd w:id="0"/>
    </w:p>
    <w:p w:rsidR="009F36F0" w:rsidRPr="00690141" w:rsidRDefault="009F36F0" w:rsidP="00FD20B3">
      <w:pPr>
        <w:spacing w:after="0" w:line="360" w:lineRule="auto"/>
        <w:ind w:left="-709"/>
        <w:jc w:val="both"/>
        <w:rPr>
          <w:rFonts w:eastAsia="Times New Roman" w:cs="Arial"/>
          <w:szCs w:val="24"/>
          <w:lang w:eastAsia="pt-BR"/>
        </w:rPr>
      </w:pPr>
    </w:p>
    <w:p w:rsidR="009F36F0" w:rsidRPr="009F36F0" w:rsidRDefault="009F36F0" w:rsidP="00FD20B3">
      <w:pPr>
        <w:spacing w:after="0" w:line="360" w:lineRule="auto"/>
        <w:ind w:left="-709"/>
        <w:jc w:val="both"/>
        <w:rPr>
          <w:rFonts w:eastAsia="Times New Roman" w:cs="Arial"/>
          <w:szCs w:val="24"/>
          <w:lang w:eastAsia="pt-BR"/>
        </w:rPr>
      </w:pPr>
      <w:r w:rsidRPr="009F36F0">
        <w:rPr>
          <w:rFonts w:eastAsia="Times New Roman" w:cs="Arial"/>
          <w:szCs w:val="24"/>
          <w:lang w:eastAsia="pt-BR"/>
        </w:rPr>
        <w:t>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 de utilização, pelo Ministério Público, de prova obtida com transgressão à garantia de inviolabilidade domiciliar. Prova ilícita. Inidoneidade jurídica (...). Administração tributária. Fiscalização. Poderes. Necessário respeito aos direitos e garantias individuais dos contribuintes e terceiros. Não são absolutos os poderes de que se acham investidos os órgãos e agentes da administração tributária, pois o Estado, em tema de tributação, inclusive em matéria de fiscalização tributária, está sujeito à observância de um complexo de direitos e prerrogativas que assistem, constitucionalmente, aos contribuintes e aos cidadãos em geral. Na realidade, os poderes do Estado encontram, nos direitos e garantias individuais, limites intransponíveis, cujo desrespeito pode caracterizar ilícito constitucional. A administração tributária, por isso mesmo, embora podendo muito, não pode tudo. É que, ao Estado, é somente lícito atuar, "respeitados os direitos individuais e nos termos da lei" (CF, art. 145, § 1º), consideradas, sobretudo, e para esse específico efeito, as limitações jurídicas decorrentes do próprio sistema instituído pela Lei Fundamental, cuja eficácia – que prepondera sobre todos os órgãos e agentes fazendários – restringe-lhes o alcance do poder de que se acham investidos, especialmente quando exercido em face do contribuinte e dos cidadãos da República, que são titulares de garantias impregnadas de estatura constitucional e que, por tal razão, não podem ser transgredidas por aqueles que exercem a autoridade em nome do Estado. A garantia da inviolabilidade domiciliar como limitação constitucional ao poder do Estado em tema de fiscalização tributária. Conceito de "casa" para efeito de proteção constitucional. Amplitude dessa noção conceitual, que também compreende os espaços privados não abertos ao público, onde alguém exerce atividade profissional: necessidade, em tal hipótese, de mandado judicial (CF, art. 5º, XI).</w:t>
      </w:r>
    </w:p>
    <w:p w:rsidR="002157DB" w:rsidRPr="00690141" w:rsidRDefault="009F36F0" w:rsidP="00FD20B3">
      <w:pPr>
        <w:spacing w:line="360" w:lineRule="auto"/>
        <w:ind w:left="-709"/>
        <w:rPr>
          <w:rFonts w:cs="Arial"/>
        </w:rPr>
      </w:pPr>
      <w:r w:rsidRPr="00690141">
        <w:rPr>
          <w:rFonts w:eastAsia="Times New Roman" w:cs="Arial"/>
          <w:szCs w:val="24"/>
          <w:lang w:eastAsia="pt-BR"/>
        </w:rPr>
        <w:t>[</w:t>
      </w:r>
      <w:hyperlink r:id="rId7" w:history="1">
        <w:r w:rsidRPr="00690141">
          <w:rPr>
            <w:rFonts w:eastAsia="Times New Roman" w:cs="Arial"/>
            <w:b/>
            <w:bCs/>
            <w:color w:val="0000FF"/>
            <w:szCs w:val="24"/>
            <w:u w:val="single"/>
            <w:lang w:eastAsia="pt-BR"/>
          </w:rPr>
          <w:t>HC 93.050</w:t>
        </w:r>
      </w:hyperlink>
      <w:r w:rsidRPr="00690141">
        <w:rPr>
          <w:rFonts w:eastAsia="Times New Roman" w:cs="Arial"/>
          <w:szCs w:val="24"/>
          <w:lang w:eastAsia="pt-BR"/>
        </w:rPr>
        <w:t xml:space="preserve">, rel. min. Celso de Mello, j. 10-6-2008, 2ª T, </w:t>
      </w:r>
      <w:r w:rsidRPr="00690141">
        <w:rPr>
          <w:rFonts w:eastAsia="Times New Roman" w:cs="Arial"/>
          <w:i/>
          <w:iCs/>
          <w:szCs w:val="24"/>
          <w:lang w:eastAsia="pt-BR"/>
        </w:rPr>
        <w:t xml:space="preserve">DJE </w:t>
      </w:r>
      <w:r w:rsidRPr="00690141">
        <w:rPr>
          <w:rFonts w:eastAsia="Times New Roman" w:cs="Arial"/>
          <w:szCs w:val="24"/>
          <w:lang w:eastAsia="pt-BR"/>
        </w:rPr>
        <w:t>de 1º-8-2008.]</w:t>
      </w:r>
    </w:p>
    <w:sectPr w:rsidR="002157DB" w:rsidRPr="00690141" w:rsidSect="00690141">
      <w:headerReference w:type="default" r:id="rId8"/>
      <w:pgSz w:w="11906" w:h="16838" w:code="9"/>
      <w:pgMar w:top="1418" w:right="707"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958" w:rsidRDefault="00B16958" w:rsidP="00690141">
      <w:pPr>
        <w:spacing w:after="0" w:line="240" w:lineRule="auto"/>
      </w:pPr>
      <w:r>
        <w:separator/>
      </w:r>
    </w:p>
  </w:endnote>
  <w:endnote w:type="continuationSeparator" w:id="0">
    <w:p w:rsidR="00B16958" w:rsidRDefault="00B16958" w:rsidP="00690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958" w:rsidRDefault="00B16958" w:rsidP="00690141">
      <w:pPr>
        <w:spacing w:after="0" w:line="240" w:lineRule="auto"/>
      </w:pPr>
      <w:r>
        <w:separator/>
      </w:r>
    </w:p>
  </w:footnote>
  <w:footnote w:type="continuationSeparator" w:id="0">
    <w:p w:rsidR="00B16958" w:rsidRDefault="00B16958" w:rsidP="006901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141" w:rsidRDefault="00690141">
    <w:pPr>
      <w:pStyle w:val="Cabealho"/>
      <w:jc w:val="right"/>
      <w:rPr>
        <w:color w:val="8496B0" w:themeColor="text2" w:themeTint="99"/>
        <w:szCs w:val="24"/>
      </w:rPr>
    </w:pPr>
    <w:r>
      <w:rPr>
        <w:color w:val="8496B0" w:themeColor="text2" w:themeTint="99"/>
        <w:szCs w:val="24"/>
      </w:rPr>
      <w:t xml:space="preserve">Esdras Arthur Pessoa Página </w:t>
    </w:r>
    <w:r>
      <w:rPr>
        <w:color w:val="8496B0" w:themeColor="text2" w:themeTint="99"/>
        <w:szCs w:val="24"/>
      </w:rPr>
      <w:fldChar w:fldCharType="begin"/>
    </w:r>
    <w:r>
      <w:rPr>
        <w:color w:val="8496B0" w:themeColor="text2" w:themeTint="99"/>
        <w:szCs w:val="24"/>
      </w:rPr>
      <w:instrText>PAGE   \* MERGEFORMAT</w:instrText>
    </w:r>
    <w:r>
      <w:rPr>
        <w:color w:val="8496B0" w:themeColor="text2" w:themeTint="99"/>
        <w:szCs w:val="24"/>
      </w:rPr>
      <w:fldChar w:fldCharType="separate"/>
    </w:r>
    <w:r>
      <w:rPr>
        <w:noProof/>
        <w:color w:val="8496B0" w:themeColor="text2" w:themeTint="99"/>
        <w:szCs w:val="24"/>
      </w:rPr>
      <w:t>1</w:t>
    </w:r>
    <w:r>
      <w:rPr>
        <w:color w:val="8496B0" w:themeColor="text2" w:themeTint="99"/>
        <w:szCs w:val="24"/>
      </w:rPr>
      <w:fldChar w:fldCharType="end"/>
    </w:r>
  </w:p>
  <w:p w:rsidR="00690141" w:rsidRDefault="0069014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6F0"/>
    <w:rsid w:val="001E69E4"/>
    <w:rsid w:val="00460503"/>
    <w:rsid w:val="00690141"/>
    <w:rsid w:val="009F36F0"/>
    <w:rsid w:val="00B16958"/>
    <w:rsid w:val="00BE3934"/>
    <w:rsid w:val="00BF13B8"/>
    <w:rsid w:val="00FD20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95DB01-44C7-4B63-A3A6-52B7956F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F36F0"/>
    <w:rPr>
      <w:color w:val="0563C1" w:themeColor="hyperlink"/>
      <w:u w:val="single"/>
    </w:rPr>
  </w:style>
  <w:style w:type="paragraph" w:styleId="Cabealho">
    <w:name w:val="header"/>
    <w:basedOn w:val="Normal"/>
    <w:link w:val="CabealhoChar"/>
    <w:uiPriority w:val="99"/>
    <w:unhideWhenUsed/>
    <w:rsid w:val="0069014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0141"/>
  </w:style>
  <w:style w:type="paragraph" w:styleId="Rodap">
    <w:name w:val="footer"/>
    <w:basedOn w:val="Normal"/>
    <w:link w:val="RodapChar"/>
    <w:uiPriority w:val="99"/>
    <w:unhideWhenUsed/>
    <w:rsid w:val="00690141"/>
    <w:pPr>
      <w:tabs>
        <w:tab w:val="center" w:pos="4252"/>
        <w:tab w:val="right" w:pos="8504"/>
      </w:tabs>
      <w:spacing w:after="0" w:line="240" w:lineRule="auto"/>
    </w:pPr>
  </w:style>
  <w:style w:type="character" w:customStyle="1" w:styleId="RodapChar">
    <w:name w:val="Rodapé Char"/>
    <w:basedOn w:val="Fontepargpadro"/>
    <w:link w:val="Rodap"/>
    <w:uiPriority w:val="99"/>
    <w:rsid w:val="00690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69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stf.jus.br/portal/inteiroTeor/obterInteiroTeor.asp?id=539135&amp;codigoClasse=349&amp;numero=93050&amp;siglaRecurso=&amp;classe=H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tf.jus.br/portal/constituicao/artigobd.asp?item=%20138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458</Words>
  <Characters>2477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Esdras Arthur</dc:creator>
  <cp:keywords/>
  <dc:description/>
  <cp:lastModifiedBy>Esdras Arthur</cp:lastModifiedBy>
  <cp:revision>1</cp:revision>
  <dcterms:created xsi:type="dcterms:W3CDTF">2019-04-15T01:19:00Z</dcterms:created>
  <dcterms:modified xsi:type="dcterms:W3CDTF">2019-04-17T12:56:00Z</dcterms:modified>
</cp:coreProperties>
</file>