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49C" w:rsidRPr="0009649C" w:rsidRDefault="0009649C" w:rsidP="0009649C">
      <w:pPr>
        <w:spacing w:after="0" w:line="288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8"/>
          <w:szCs w:val="38"/>
          <w:lang w:eastAsia="pt-BR"/>
        </w:rPr>
      </w:pPr>
      <w:r w:rsidRPr="0009649C">
        <w:rPr>
          <w:rFonts w:ascii="Times New Roman" w:eastAsia="Times New Roman" w:hAnsi="Times New Roman" w:cs="Times New Roman"/>
          <w:color w:val="000000" w:themeColor="text1"/>
          <w:kern w:val="36"/>
          <w:sz w:val="38"/>
          <w:lang w:eastAsia="pt-BR"/>
        </w:rPr>
        <w:t>ALÍQUOTAS INTERNAS DE ICMS DO ESTADO DA BAHIA (BA) CONFORME EC 87/15</w:t>
      </w:r>
    </w:p>
    <w:p w:rsidR="0009649C" w:rsidRPr="0009649C" w:rsidRDefault="0009649C" w:rsidP="0009649C">
      <w:pPr>
        <w:spacing w:after="0" w:line="240" w:lineRule="auto"/>
        <w:textAlignment w:val="baseline"/>
        <w:rPr>
          <w:rFonts w:ascii="Tahoma" w:eastAsia="Times New Roman" w:hAnsi="Tahoma" w:cs="Tahoma"/>
          <w:color w:val="000000" w:themeColor="text1"/>
          <w:sz w:val="17"/>
          <w:szCs w:val="17"/>
          <w:lang w:eastAsia="pt-BR"/>
        </w:rPr>
      </w:pPr>
      <w:proofErr w:type="spellStart"/>
      <w:r w:rsidRPr="0009649C">
        <w:rPr>
          <w:rFonts w:ascii="Tahoma" w:eastAsia="Times New Roman" w:hAnsi="Tahoma" w:cs="Tahoma"/>
          <w:color w:val="000000" w:themeColor="text1"/>
          <w:sz w:val="17"/>
          <w:szCs w:val="17"/>
          <w:lang w:eastAsia="pt-BR"/>
        </w:rPr>
        <w:t>January</w:t>
      </w:r>
      <w:proofErr w:type="spellEnd"/>
      <w:r w:rsidRPr="0009649C">
        <w:rPr>
          <w:rFonts w:ascii="Tahoma" w:eastAsia="Times New Roman" w:hAnsi="Tahoma" w:cs="Tahoma"/>
          <w:color w:val="000000" w:themeColor="text1"/>
          <w:sz w:val="17"/>
          <w:szCs w:val="17"/>
          <w:lang w:eastAsia="pt-BR"/>
        </w:rPr>
        <w:t xml:space="preserve"> 18, 2016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As alíquotas do ICMS são as seguintes (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arts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.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15, 16 e 16-A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da Lei do ICMS n° 7.014/96), conforme quadro a seguir: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4%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a) Nas prestações interestaduais de transporte aéreo de carga e mala postal, quando tomadas por contribuintes ou a estes destinadas;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b) nas operações interestaduais com bens e mercadorias importados do exterior, destinados a contribuintes ou não do imposto, que, após seu desembaraço aduaneiro: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1. Não tenham sido submetidos a processo de industrialização;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2. Ainda que submetidos a qualquer processo de transformação, beneficiamento, montagem, acondicionamento,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reacondicionamento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, renovação ou recondicionamento, resultem em mercadorias ou bens com conteúdo de importação superior a 40%.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7%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Operações internas com as seguintes mercadorias: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- arroz;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- feijão;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- milho;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- macarrão;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- sal de cozinha;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- farinha e fubá de milho;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- farinha de mandioca;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-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mercadorias saídas diretamente do estabelecimento fabricante situado neste Estado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com destino a empresas de pequeno porte e Microempresas inscritas no cadastro estadual, exceto em se tratando das mercadorias enquadradas no regime de substituição tributária e das mercadorias não enquadradas no regime de substituição relacionadas nos incisos II, III e IV do art. 16 da Lei nº 7.014/96.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12%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Nas operações com caminhões-tratores comuns, caminhões, ônibus,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ônibus-leitos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e chassis com motores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para caminhões e para veículos da posição 8702, para ônibus e para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micro-ônibus compreendidos nas seguintes posições da NBM/SH: 8701.20.00, 8702.10.00, 8704.21 (exceto caminhão de peso em carga máxima igual ou inferior a 3,9 t), 8704.22, 8704.23, 8704.31 (exceto caminhão de peso em carga máxima igual ou inferior a 3,9 t), 8704.32, 8706.00.10 e 8706.00.90;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Nas operações com os veículos novos (automóveis de passageiros, jipes, ambulâncias, camionetas, furgões, pick-ups e outros veículos) compreendidos nas seguintes posições da NBM/SH: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8702.10.00 - Veículos automóveis para transporte de dez pessoas ou mais, incluindo o motorista, com motor de pistão, de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ignição por compressão (diesel </w:t>
      </w: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lastRenderedPageBreak/>
        <w:t xml:space="preserve">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), com volume de habitáculo, destinado a passageiros e motorista, superior a 6 m3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, mas inferior a 9 m3.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8702.90.90 - Outros veículos automóveis para transporte de dez pessoas ou mais, incluindo o motorista, com volume interno de habitáculo, destinado a passageiros e motorista, superior a 6 m3, mas inferior a 9 m3.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8703.21.00 - Automóveis com motor explosão, de cilindrada não superior a 1.000 cm3.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8703.22.10 - Automóveis com motor explosão, de cilindrada superior a 1.000 cm3, mas não superior a 1.500 cm3, com capacidade de transporte de pessoas sentadas inferior ou igual a seis, incluído o condutor, exceto: carro celular.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8703.22.90 - Outros automóveis com motor explosão, de cilindrada superior a 1.000 cm3, mas não superior a 1.500 cm3, exceto: carro celular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8703.23.10 - Automóveis com motor explosão, de cilindrada superior a 1.500 cm3, mas não superior a 3.000 cm3, com capacidade de transporte de pessoas sentadas inferior ou igual a 6, incluído o condutor, exceto: carro celular, carro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funerário e automóveis de corrida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8703.23.90 - Outros automóveis com motor explosão, de cilindrada superior a 1.500 cm3, mas não superior a 3.000 cm3, exceto: carro celular, carro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funerário e automóveis de corrida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8703.24.10 - Automóveis com motor explosão, de cilindrada superior a 3.000 cm3, com capacidade de transporte de pessoas sentadas inferior ou igual a seis, incluído o condutor, exceto: carro celular, carro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funerário e automóveis de corrida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8703.24.90 - Outros automóveis com motor explosão, de cilindrada superior a 3.000 cm3, exceto: carro celular, carro funerário e automóveis de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corrida .</w:t>
      </w:r>
      <w:proofErr w:type="gramEnd"/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8703.32.10 - Automóveis com motor diesel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, de cilindrada superior a 1.500 cm3, mas não superior a 2.500 cm3, com capacidade de transporte de pessoas sentadas inferior ou igual a seis, incluído o condutor, exceto: ambulância, carro celular e carro funerário.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8703.32.90 - Outros automóveis com motor diesel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, de cilindrada superior a 1.500 cm3, mas não superior a 2.500 cm3, exceto: ambulância, carro celular e carro funerário.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8703.33.10 - Automóveis com motor diesel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, de cilindrada superior a 2.500 cm3, com capacidade de transporte de pessoas sentadas inferior ou igual a seis, incluído o condutor, exceto: carro celular e carro funerário.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8703.33.90 - Outros automóveis com motor diesel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, de cilindrada superior a 2.500 cm3, exceto: carro celular e carro funerário.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8704.21.10 - Veículos automóveis para transporte de mercadorias, de peso em carga máxima não superior a 5 t, chassi com motor diesel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e cabina, exceto: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8704.21.20 - Veículos automóveis para transporte de mercadorias, de peso em carga máxima não superior a 5 t, com motor diesel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com caixa basculante, exceto: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8704.21.30 - Veículos automóveis para transporte de mercadorias, de peso em carga máxima não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superior a 5 t, frigoríficos ou isotérmicos com motor diesel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, exceto: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8704.21.90 - Outros veículos automóveis para transporte de mercadorias, de peso em carga máxima não superior a 5 t com motor diesel 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semidiesel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, </w:t>
      </w: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lastRenderedPageBreak/>
        <w:t>exceto: carro-forte para transporte de valores e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8704.31.10 - Veículos automóveis para transporte de mercadorias, de peso em carga máxima não superior a 5 t, com motor a explosão, chassis e cabina, exceto: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8704.31.20 - Veículos automóveis para transporte de mercadorias, de peso em carga máxima não superior a 5 t, com motor explosão/caixa basculante, exceto: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8704.31.30 - Veículos automóveis para transporte de mercadorias, de peso em carga máxima não superior a 5 t, frigoríficos ou isotérmicos com motor explosão, exceto: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8704.31.90 - Outros veículos automóveis para transporte de mercadorias, de peso em carga máxima não superior a 5 t, com motor a explosão, exceto: carro-forte para transporte de valores e caminhão de peso em carga máxima superior a 3,9 t.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Nas operações com veículos novos motorizados classificados na posição 8711 da NBM/SH;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Nas operações e prestações interestaduais que destinem mercadorias, bens ou serviços a contribuintes ou não do imposto.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18%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Regra geral aplicável: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a) nas operações e prestações internas;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b) nas entradas, no território deste Estado, de lubrificantes e combustíveis líquidos ou gasosos derivados de petróleo de outro Estado, quando não destinados à comercialização, industrialização, produção, geração ou extração;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c) nas operações de importação de mercadorias ou bens do exterior;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d) nas operações de arrematação de mercadorias ou bens importados do exterior e apreendidos ou abandonados;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e) nas prestações de serviços de transporte iniciadas no exterior e de comunicação iniciadas ou prestadas no exterior.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25%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Nas operações com: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Cigarros, cigarrilhas, charutos e fumos industrializados;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Bebidas alcoólicas;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Ultraleves e suas partes e peças: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1 - asas-delta;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2 -- balões e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dirigíveis;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3 - partes e peças dos veículos e aparelhos indicados nos itens anteriores;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embarcações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de esporte e recreio, esquis aquáticos e 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jet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skis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óleo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 diesel e álcool etílico anidro combustível (AEAC);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spellStart"/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joias</w:t>
      </w:r>
      <w:proofErr w:type="spellEnd"/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(não incluídos os artigos de bijuteria):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1 - de metais preciosos ou de metais folheados ou chapeados de metais preciosos;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2 - de pérolas naturais ou cultivadas, de pedras preciosas ou semipreciosas, de pedras sintéticas ou reconstituídas;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Perfumes (extratos) e águas-de-colônia, inclusive colônia e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deocolônia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, exceto lavanda, seiva de alfazema, loções após-barba e desodorantes corporais simples 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antiperspirantes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lastRenderedPageBreak/>
        <w:t>Energia elétrica;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Pólvoras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propulsivas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, estopins ou rastilhos, cordéis detonantes,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escorvas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(cápsulas fulminantes), espoletas, bombas, petardos, busca-pés, estalos de salão e outros fogos semelhantes, foguetes, cartuchos, exceto: dinamite e explosivos para emprego na extração ou construção, foguetes de sinalização, foguetes e cartuchos contra granizo e semelhantes, fogos de artifício e fósforos.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18"/>
          <w:szCs w:val="18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26%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Nos serviços de telefonia, telex, fax e outros serviços de telecomunicações, inclusive serviço especial de televisão por assinatura.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28%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Gasolina e nas operações com cigarros, cigarrilhas, charutos e fumos industrializados;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Lei nº 13.461/15 (DOE-BA 11/12/2015) dá nova redação ao art. 16 da Lei nº 7.014/96 para alterar a alíquota do ICMS de 28% nas operações com cigarros, cigarrilhas, charutos e fumos industrializados a partir de 10/03/16 (90 dias após a publicação da lei).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30"/>
          <w:szCs w:val="30"/>
          <w:lang w:eastAsia="pt-BR"/>
        </w:rPr>
      </w:pPr>
      <w:r w:rsidRPr="0009649C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u w:val="single"/>
          <w:bdr w:val="none" w:sz="0" w:space="0" w:color="auto" w:frame="1"/>
          <w:lang w:eastAsia="pt-BR"/>
        </w:rPr>
        <w:t>38%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Operações com armas e munições, exceto as destinadas às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Polícias Civil e Militar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e às Forças Armadas.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1ª)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Conforme estabelece o art. 16-A da Lei nº 7.014/96, o recolhimento do imposto correspondente aos dois pontos percentuais adicionais será efetuado em conta-corrente específica vinculada ao </w:t>
      </w:r>
      <w:r w:rsidRPr="0009649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bdr w:val="none" w:sz="0" w:space="0" w:color="auto" w:frame="1"/>
          <w:lang w:eastAsia="pt-BR"/>
        </w:rPr>
        <w:t>Fundo Estadual de Combate e Erradicação da Pobreza</w:t>
      </w:r>
      <w:r w:rsidRPr="0009649C">
        <w:rPr>
          <w:rFonts w:ascii="Arial" w:eastAsia="Times New Roman" w:hAnsi="Arial" w:cs="Arial"/>
          <w:color w:val="000000" w:themeColor="text1"/>
          <w:sz w:val="24"/>
          <w:szCs w:val="24"/>
          <w:u w:val="single"/>
          <w:bdr w:val="none" w:sz="0" w:space="0" w:color="auto" w:frame="1"/>
          <w:lang w:eastAsia="pt-BR"/>
        </w:rPr>
        <w:t>,</w:t>
      </w: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 na forma prevista em ato do Secretário da Fazenda.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As mercadorias a seguir relacionadas estão sujeitas às respectivas alíquotas majoradas destinadas ao FECOEP: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a) 20% nas operações com cosméticos, isotônicos, energéticos, refrigerantes, cerveja e chopes;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b) 27% sobre: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1) cigarros, cigarrilhas, charutos e fumos industrializados,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2) bebidas alcoólicas;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3) ultraleves e suas partes e peças: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3.1) asas-delta;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3.2) balões e dirigíveis;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3.3) partes e peças dos veículos e aparelhos indicados nas letras "a.3.1" e "a.3.2";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4) embarcações de esporte e recreio, esquis aquáticos e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jet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skis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5) gasolina e álcool etílico, etanol, anidro combustível (AEAC) e álcool etílico hidratado combustível (AEHC);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6)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joias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(não incluídos os artigos de bijuteria):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6.1) de metais preciosos ou de metais folheados ou chapeados de metais preciosos;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6.2) de pérolas naturais ou cultivadas, preciosas ou semipreciosas e sintéticas ou reconstituídas;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lastRenderedPageBreak/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7) perfumes (extratos e águas-de-colônia, inclusive colônia e de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ocolônia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, exceto lavanda, seiva de alfazema, loções pós-barba e desodorantes corporais simples ou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antiperspirantes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);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8) energia elétrica, exceto no fornecimento, destinado ao consumo, inferior a 150 kWh mensais;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9) pólvoras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propulsivas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, estopins ou rastilhos, cordéis detonantes, </w:t>
      </w:r>
      <w:proofErr w:type="spell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escorvas</w:t>
      </w:r>
      <w:proofErr w:type="spell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(cápsulas fulminantes), espoletas, bombas, petardos, busca-pés, estalos de salão e outros fogos semelhantes; foguetes, cartuchos, exceto dinamite e explosivos para emprego na extração ou construção; foguetes de sinalização, foguetes e cartuchos contra granizo e semelhantes; fogos de artifício e fósforos;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10) serviços de telefonia, telex, fax e outros de telecomunicações, inclusive serviço especial de televisão por assinatura, exceto de telefonia mediante ficha ou cartão (cartão indutivo para utilização em Telefone de Uso Público - TUP);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c) 40%, nas operações com armas e munições, exceto as destinadas às </w:t>
      </w: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Polícias Civil e Militar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e às Forças Armadas.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2ª)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A Portaria SEFAZ nº 133/02 estabelece procedimentos relativos ao recolhimento do adicional ao Fundo Estadual de Combate e Erradicação da Pobreza.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3ª)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O acréscimo de 2% não se aplica no fornecimento de energia elétrica destinada ao consumo residencial inferior a 150 kWh mensais para consumidores enquadrados na subclasse residencial baixa renda nos termos definidos em Resolução da Agência Nacional de Energia Elétrica (ANEEL);</w:t>
      </w:r>
    </w:p>
    <w:p w:rsidR="0009649C" w:rsidRPr="0009649C" w:rsidRDefault="0009649C" w:rsidP="0009649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proofErr w:type="gramStart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4ª)</w:t>
      </w:r>
      <w:proofErr w:type="gramEnd"/>
      <w:r w:rsidRPr="0009649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 Nas operações e prestações interestaduais que destinem mercadoria, bens e serviços a consumidor final localizado neste Estado, contribuinte ou não do imposto, o Estado fará jus à diferença entre a alíquota interna e a alíquota interestadual (§ 7º do art. 15 da Lei nº 7.014/96).</w:t>
      </w:r>
    </w:p>
    <w:p w:rsidR="00EE544F" w:rsidRPr="0009649C" w:rsidRDefault="00EE544F">
      <w:pPr>
        <w:rPr>
          <w:color w:val="000000" w:themeColor="text1"/>
        </w:rPr>
      </w:pPr>
    </w:p>
    <w:sectPr w:rsidR="00EE544F" w:rsidRPr="0009649C" w:rsidSect="00EE5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9649C"/>
    <w:rsid w:val="0009649C"/>
    <w:rsid w:val="001C220E"/>
    <w:rsid w:val="00234EE3"/>
    <w:rsid w:val="0058458D"/>
    <w:rsid w:val="008D4936"/>
    <w:rsid w:val="009B648F"/>
    <w:rsid w:val="00BB5F30"/>
    <w:rsid w:val="00E84766"/>
    <w:rsid w:val="00EE5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44F"/>
  </w:style>
  <w:style w:type="paragraph" w:styleId="Ttulo1">
    <w:name w:val="heading 1"/>
    <w:basedOn w:val="Normal"/>
    <w:link w:val="Ttulo1Char"/>
    <w:uiPriority w:val="9"/>
    <w:qFormat/>
    <w:rsid w:val="00096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4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nfase">
    <w:name w:val="Emphasis"/>
    <w:basedOn w:val="Fontepargpadro"/>
    <w:uiPriority w:val="20"/>
    <w:qFormat/>
    <w:rsid w:val="0009649C"/>
    <w:rPr>
      <w:i/>
      <w:iCs/>
    </w:rPr>
  </w:style>
  <w:style w:type="paragraph" w:customStyle="1" w:styleId="font9">
    <w:name w:val="font_9"/>
    <w:basedOn w:val="Normal"/>
    <w:rsid w:val="00096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nt8">
    <w:name w:val="font_8"/>
    <w:basedOn w:val="Normal"/>
    <w:rsid w:val="00096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4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9777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2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1856</Words>
  <Characters>10025</Characters>
  <Application>Microsoft Office Word</Application>
  <DocSecurity>0</DocSecurity>
  <Lines>83</Lines>
  <Paragraphs>23</Paragraphs>
  <ScaleCrop>false</ScaleCrop>
  <Company/>
  <LinksUpToDate>false</LinksUpToDate>
  <CharactersWithSpaces>11858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Servicom Pc04</dc:creator>
  <cp:lastModifiedBy>Servicom Pc04</cp:lastModifiedBy>
  <cp:revision>1</cp:revision>
  <dcterms:created xsi:type="dcterms:W3CDTF">2018-07-12T12:18:00Z</dcterms:created>
  <dcterms:modified xsi:type="dcterms:W3CDTF">2018-07-12T12:22:00Z</dcterms:modified>
</cp:coreProperties>
</file>