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0740" w:rsidRPr="00980740" w:rsidRDefault="00980740" w:rsidP="00980740">
      <w:pPr>
        <w:spacing w:after="0" w:line="240" w:lineRule="auto"/>
      </w:pPr>
      <w:r w:rsidRPr="00980740">
        <w:t>NOTÍCIAS</w:t>
      </w:r>
    </w:p>
    <w:p w:rsidR="00980740" w:rsidRPr="00980740" w:rsidRDefault="00980740" w:rsidP="00980740">
      <w:pPr>
        <w:spacing w:after="0" w:line="240" w:lineRule="auto"/>
        <w:rPr>
          <w:b/>
          <w:bCs/>
          <w:color w:val="FF0000"/>
        </w:rPr>
      </w:pPr>
      <w:r w:rsidRPr="00980740">
        <w:rPr>
          <w:b/>
          <w:bCs/>
          <w:color w:val="FF0000"/>
        </w:rPr>
        <w:t xml:space="preserve">Receita altera regras relativas à entrega da </w:t>
      </w:r>
      <w:proofErr w:type="spellStart"/>
      <w:proofErr w:type="gramStart"/>
      <w:r w:rsidRPr="00980740">
        <w:rPr>
          <w:b/>
          <w:bCs/>
          <w:color w:val="FF0000"/>
        </w:rPr>
        <w:t>DCTFWeb</w:t>
      </w:r>
      <w:proofErr w:type="spellEnd"/>
      <w:proofErr w:type="gramEnd"/>
    </w:p>
    <w:p w:rsidR="00980740" w:rsidRPr="00980740" w:rsidRDefault="00980740" w:rsidP="00980740">
      <w:pPr>
        <w:spacing w:after="0" w:line="240" w:lineRule="auto"/>
      </w:pPr>
      <w:r w:rsidRPr="00980740">
        <w:t>O faturamento em 2017 é critério para enquadrar empresas obrigadas à entrega</w:t>
      </w:r>
    </w:p>
    <w:p w:rsidR="00980740" w:rsidRPr="00980740" w:rsidRDefault="00980740" w:rsidP="00980740">
      <w:pPr>
        <w:spacing w:after="0" w:line="240" w:lineRule="auto"/>
      </w:pPr>
      <w:r w:rsidRPr="00980740">
        <w:t xml:space="preserve">Publicado: 22/04/2019 </w:t>
      </w:r>
      <w:proofErr w:type="gramStart"/>
      <w:r w:rsidRPr="00980740">
        <w:t>16h38,</w:t>
      </w:r>
      <w:proofErr w:type="gramEnd"/>
      <w:r w:rsidRPr="00980740">
        <w:t>Última modificação: 22/04/2019 17h04</w:t>
      </w:r>
    </w:p>
    <w:p w:rsidR="00980740" w:rsidRPr="00980740" w:rsidRDefault="00980740" w:rsidP="00980740">
      <w:pPr>
        <w:spacing w:after="0" w:line="240" w:lineRule="auto"/>
      </w:pPr>
    </w:p>
    <w:p w:rsidR="00980740" w:rsidRPr="00980740" w:rsidRDefault="00980740" w:rsidP="00980740">
      <w:pPr>
        <w:spacing w:after="0" w:line="240" w:lineRule="auto"/>
      </w:pPr>
      <w:r w:rsidRPr="00980740">
        <w:t xml:space="preserve">Conforme disposto na Instrução Normativa nº 1.787, de </w:t>
      </w:r>
      <w:proofErr w:type="gramStart"/>
      <w:r w:rsidRPr="00980740">
        <w:t>7</w:t>
      </w:r>
      <w:proofErr w:type="gramEnd"/>
      <w:r w:rsidRPr="00980740">
        <w:t xml:space="preserve"> de fevereiro de 2018, alterada pela </w:t>
      </w:r>
      <w:hyperlink r:id="rId5" w:tgtFrame="_self" w:tooltip="" w:history="1">
        <w:r w:rsidRPr="00980740">
          <w:rPr>
            <w:rStyle w:val="Hyperlink"/>
          </w:rPr>
          <w:t>Instrução Normativa nº 1.884, de 17 de abril de 2019,</w:t>
        </w:r>
      </w:hyperlink>
      <w:r w:rsidRPr="00980740">
        <w:t xml:space="preserve"> publicada hoje no Diário Oficial da União, as entidades integrantes do "Grupo 2 - Entidades Empresariais", do Anexo V da Instrução Normativa RFB nº 1.634, de 2016, com faturamento no ano-calendário de 2017 acima de R$ 4.800.000,00 (quatro milhões e oitocentos mil reais) estão obrigadas à entrega da </w:t>
      </w:r>
      <w:proofErr w:type="spellStart"/>
      <w:r w:rsidRPr="00980740">
        <w:t>DCTFWeb</w:t>
      </w:r>
      <w:proofErr w:type="spellEnd"/>
      <w:r w:rsidRPr="00980740">
        <w:t xml:space="preserve"> para os fatos geradores que ocorram a partir de 1º de abril de 2019. A data de entrega da </w:t>
      </w:r>
      <w:proofErr w:type="spellStart"/>
      <w:proofErr w:type="gramStart"/>
      <w:r w:rsidRPr="00980740">
        <w:t>DCTFWeb</w:t>
      </w:r>
      <w:proofErr w:type="spellEnd"/>
      <w:proofErr w:type="gramEnd"/>
      <w:r w:rsidRPr="00980740">
        <w:t xml:space="preserve"> para o período de apuração abril de 2019 é até 15/05/2019 e o vencimento do DARF é 20/05/2019.</w:t>
      </w:r>
    </w:p>
    <w:p w:rsidR="00980740" w:rsidRPr="00980740" w:rsidRDefault="00980740" w:rsidP="00980740">
      <w:pPr>
        <w:spacing w:after="0" w:line="240" w:lineRule="auto"/>
      </w:pPr>
      <w:r w:rsidRPr="00980740">
        <w:t xml:space="preserve">A </w:t>
      </w:r>
      <w:proofErr w:type="spellStart"/>
      <w:proofErr w:type="gramStart"/>
      <w:r w:rsidRPr="00980740">
        <w:t>DCTFWeb</w:t>
      </w:r>
      <w:proofErr w:type="spellEnd"/>
      <w:proofErr w:type="gramEnd"/>
      <w:r w:rsidRPr="00980740">
        <w:t xml:space="preserve"> substituirá a GFIP para fins de declaração de contribuições previdenciárias. Lembramos que os recolhimentos serão realizados em DARF emitido pela própria declaração, após a transmissão da mesma.</w:t>
      </w:r>
    </w:p>
    <w:p w:rsidR="00980740" w:rsidRPr="00980740" w:rsidRDefault="00980740" w:rsidP="00980740">
      <w:pPr>
        <w:spacing w:after="0" w:line="240" w:lineRule="auto"/>
      </w:pPr>
      <w:r w:rsidRPr="00980740">
        <w:t>ATENÇÃO: A partir de 01/04/2019, os contribuintes contratantes de serviços sujeitos à retenção da Lei 9.711/98 não devem mais utilizar GPS para recolhimento da retenção sobre notas fiscais. Estas retenções devem ser escrituradas na EFD-</w:t>
      </w:r>
      <w:proofErr w:type="spellStart"/>
      <w:r w:rsidRPr="00980740">
        <w:t>Reinf</w:t>
      </w:r>
      <w:proofErr w:type="spellEnd"/>
      <w:r w:rsidRPr="00980740">
        <w:t xml:space="preserve"> e, após o encerramento desta escrituração, são automaticamente transportadas para a </w:t>
      </w:r>
      <w:proofErr w:type="spellStart"/>
      <w:proofErr w:type="gramStart"/>
      <w:r w:rsidRPr="00980740">
        <w:t>DCTFWeb</w:t>
      </w:r>
      <w:proofErr w:type="spellEnd"/>
      <w:proofErr w:type="gramEnd"/>
      <w:r w:rsidRPr="00980740">
        <w:t xml:space="preserve">. Portanto, o recolhimento dos valores retidos passa a ser feito pelo DARF emitido no sistema </w:t>
      </w:r>
      <w:proofErr w:type="spellStart"/>
      <w:proofErr w:type="gramStart"/>
      <w:r w:rsidRPr="00980740">
        <w:t>DCTFWeb</w:t>
      </w:r>
      <w:proofErr w:type="spellEnd"/>
      <w:proofErr w:type="gramEnd"/>
      <w:r w:rsidRPr="00980740">
        <w:t>, no CNPJ da tomadora.</w:t>
      </w:r>
    </w:p>
    <w:p w:rsidR="00980740" w:rsidRPr="00980740" w:rsidRDefault="00980740" w:rsidP="00980740">
      <w:pPr>
        <w:spacing w:after="0" w:line="240" w:lineRule="auto"/>
      </w:pPr>
      <w:r w:rsidRPr="00980740">
        <w:t xml:space="preserve">Conforme IN RFB 971/2009, a empresa que utiliza o </w:t>
      </w:r>
      <w:proofErr w:type="spellStart"/>
      <w:proofErr w:type="gramStart"/>
      <w:r w:rsidRPr="00980740">
        <w:t>eSocial</w:t>
      </w:r>
      <w:proofErr w:type="spellEnd"/>
      <w:proofErr w:type="gramEnd"/>
      <w:r w:rsidRPr="00980740">
        <w:t>/EFD-</w:t>
      </w:r>
      <w:proofErr w:type="spellStart"/>
      <w:r w:rsidRPr="00980740">
        <w:t>Reinf</w:t>
      </w:r>
      <w:proofErr w:type="spellEnd"/>
      <w:r w:rsidRPr="00980740">
        <w:t>/</w:t>
      </w:r>
      <w:proofErr w:type="spellStart"/>
      <w:r w:rsidRPr="00980740">
        <w:t>DCTFWeb</w:t>
      </w:r>
      <w:proofErr w:type="spellEnd"/>
      <w:r w:rsidRPr="00980740">
        <w:t>, está dispensada do envio de cópia do comprovante de retenção (DARF) para o prestador de serviços.</w:t>
      </w:r>
    </w:p>
    <w:p w:rsidR="00980740" w:rsidRPr="00980740" w:rsidRDefault="00980740" w:rsidP="00980740">
      <w:pPr>
        <w:spacing w:after="0" w:line="240" w:lineRule="auto"/>
      </w:pPr>
      <w:r w:rsidRPr="00980740">
        <w:t xml:space="preserve">Lembramos que, a partir do início da obrigatoriedade de entrega da </w:t>
      </w:r>
      <w:proofErr w:type="spellStart"/>
      <w:proofErr w:type="gramStart"/>
      <w:r w:rsidRPr="00980740">
        <w:t>DCTFWeb</w:t>
      </w:r>
      <w:proofErr w:type="spellEnd"/>
      <w:proofErr w:type="gramEnd"/>
      <w:r w:rsidRPr="00980740">
        <w:t xml:space="preserve">, as empresas não devem efetuar nenhum recolhimento em GPS. Em caso de dificuldades no fechamento do </w:t>
      </w:r>
      <w:proofErr w:type="spellStart"/>
      <w:proofErr w:type="gramStart"/>
      <w:r w:rsidRPr="00980740">
        <w:t>eSocial</w:t>
      </w:r>
      <w:proofErr w:type="spellEnd"/>
      <w:proofErr w:type="gramEnd"/>
      <w:r w:rsidRPr="00980740">
        <w:t xml:space="preserve"> e/ou </w:t>
      </w:r>
      <w:proofErr w:type="spellStart"/>
      <w:r w:rsidRPr="00980740">
        <w:t>Reinf</w:t>
      </w:r>
      <w:proofErr w:type="spellEnd"/>
      <w:r w:rsidRPr="00980740">
        <w:t>, o recolhimento das contribuições previdenciárias deve ser efetuado em DARF Avulso.</w:t>
      </w:r>
    </w:p>
    <w:p w:rsidR="00980740" w:rsidRPr="00980740" w:rsidRDefault="00980740" w:rsidP="00980740">
      <w:pPr>
        <w:spacing w:after="0" w:line="240" w:lineRule="auto"/>
      </w:pPr>
      <w:r w:rsidRPr="00980740">
        <w:t xml:space="preserve">Para mais informações sobre a </w:t>
      </w:r>
      <w:proofErr w:type="spellStart"/>
      <w:proofErr w:type="gramStart"/>
      <w:r w:rsidRPr="00980740">
        <w:t>DCTFWeb</w:t>
      </w:r>
      <w:proofErr w:type="spellEnd"/>
      <w:proofErr w:type="gramEnd"/>
      <w:r w:rsidRPr="00980740">
        <w:t>, clique </w:t>
      </w:r>
      <w:hyperlink r:id="rId6" w:tgtFrame="_self" w:tooltip="" w:history="1">
        <w:r w:rsidRPr="00980740">
          <w:rPr>
            <w:rStyle w:val="Hyperlink"/>
          </w:rPr>
          <w:t>aqu</w:t>
        </w:r>
      </w:hyperlink>
      <w:r w:rsidRPr="00980740">
        <w:t>i. </w:t>
      </w:r>
    </w:p>
    <w:p w:rsidR="00980740" w:rsidRPr="00980740" w:rsidRDefault="00980740" w:rsidP="00980740">
      <w:pPr>
        <w:spacing w:after="0" w:line="240" w:lineRule="auto"/>
      </w:pPr>
      <w:r w:rsidRPr="00980740">
        <w:t>____________</w:t>
      </w:r>
    </w:p>
    <w:p w:rsidR="00980740" w:rsidRPr="00980740" w:rsidRDefault="00980740" w:rsidP="00980740">
      <w:pPr>
        <w:spacing w:after="0" w:line="240" w:lineRule="auto"/>
      </w:pPr>
      <w:r w:rsidRPr="00980740">
        <w:t>Fonte: </w:t>
      </w:r>
      <w:hyperlink r:id="rId7" w:tgtFrame="_self" w:tooltip="" w:history="1">
        <w:r w:rsidRPr="00980740">
          <w:rPr>
            <w:rStyle w:val="Hyperlink"/>
          </w:rPr>
          <w:t>Receita Federal</w:t>
        </w:r>
      </w:hyperlink>
    </w:p>
    <w:p w:rsidR="00980740" w:rsidRDefault="00980740" w:rsidP="00980740">
      <w:pPr>
        <w:spacing w:after="0" w:line="240" w:lineRule="auto"/>
      </w:pPr>
    </w:p>
    <w:p w:rsidR="00980740" w:rsidRPr="00980740" w:rsidRDefault="00980740" w:rsidP="00980740">
      <w:pPr>
        <w:spacing w:after="0" w:line="240" w:lineRule="auto"/>
        <w:rPr>
          <w:color w:val="FF0000"/>
          <w:sz w:val="32"/>
          <w:szCs w:val="32"/>
        </w:rPr>
      </w:pPr>
      <w:r w:rsidRPr="00980740">
        <w:rPr>
          <w:color w:val="FF0000"/>
          <w:sz w:val="32"/>
          <w:szCs w:val="32"/>
        </w:rPr>
        <w:t xml:space="preserve">Tabela de Obrigatoriedade da </w:t>
      </w:r>
      <w:proofErr w:type="spellStart"/>
      <w:r w:rsidRPr="00980740">
        <w:rPr>
          <w:color w:val="FF0000"/>
          <w:sz w:val="32"/>
          <w:szCs w:val="32"/>
        </w:rPr>
        <w:t>DCTFWeb</w:t>
      </w:r>
      <w:bookmarkStart w:id="0" w:name="_GoBack"/>
      <w:bookmarkEnd w:id="0"/>
      <w:proofErr w:type="spellEnd"/>
    </w:p>
    <w:tbl>
      <w:tblPr>
        <w:tblW w:w="0" w:type="auto"/>
        <w:tblBorders>
          <w:bottom w:val="single" w:sz="6" w:space="0" w:color="AEB3B6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6"/>
        <w:gridCol w:w="2654"/>
        <w:gridCol w:w="3664"/>
      </w:tblGrid>
      <w:tr w:rsidR="00980740" w:rsidRPr="00980740" w:rsidTr="0098074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:rsidR="00980740" w:rsidRPr="00980740" w:rsidRDefault="00980740" w:rsidP="00980740">
            <w:pPr>
              <w:spacing w:after="0" w:line="240" w:lineRule="auto"/>
              <w:rPr>
                <w:b/>
                <w:bCs/>
              </w:rPr>
            </w:pPr>
            <w:r w:rsidRPr="00980740">
              <w:rPr>
                <w:b/>
                <w:bCs/>
              </w:rPr>
              <w:t>Primeiro Grupo (a partir de 08/2018)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:rsidR="00980740" w:rsidRPr="00980740" w:rsidRDefault="00980740" w:rsidP="00980740">
            <w:pPr>
              <w:spacing w:after="0" w:line="240" w:lineRule="auto"/>
              <w:rPr>
                <w:b/>
                <w:bCs/>
              </w:rPr>
            </w:pPr>
            <w:r w:rsidRPr="00980740">
              <w:rPr>
                <w:b/>
                <w:bCs/>
              </w:rPr>
              <w:t>Segundo Grupo (a partir de 04/2019)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:rsidR="00980740" w:rsidRPr="00980740" w:rsidRDefault="00980740" w:rsidP="00980740">
            <w:pPr>
              <w:spacing w:after="0" w:line="240" w:lineRule="auto"/>
              <w:rPr>
                <w:b/>
                <w:bCs/>
              </w:rPr>
            </w:pPr>
            <w:r w:rsidRPr="00980740">
              <w:rPr>
                <w:b/>
                <w:bCs/>
              </w:rPr>
              <w:t>Terceiro Grupo (a partir de 10/2019)</w:t>
            </w:r>
          </w:p>
        </w:tc>
      </w:tr>
      <w:tr w:rsidR="00980740" w:rsidRPr="00980740" w:rsidTr="00980740">
        <w:tc>
          <w:tcPr>
            <w:tcW w:w="0" w:type="auto"/>
            <w:tcBorders>
              <w:bottom w:val="dotted" w:sz="6" w:space="0" w:color="D5D5D5"/>
              <w:right w:val="single" w:sz="6" w:space="0" w:color="DDDDDD"/>
            </w:tcBorders>
            <w:shd w:val="clear" w:color="auto" w:fill="F5F5F5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:rsidR="00980740" w:rsidRPr="00980740" w:rsidRDefault="00980740" w:rsidP="00980740">
            <w:pPr>
              <w:spacing w:after="0" w:line="240" w:lineRule="auto"/>
            </w:pPr>
            <w:r w:rsidRPr="00980740">
              <w:t>Faturamento acima de R$ 78 milhões no ano-calendário 2016. </w:t>
            </w:r>
          </w:p>
        </w:tc>
        <w:tc>
          <w:tcPr>
            <w:tcW w:w="0" w:type="auto"/>
            <w:tcBorders>
              <w:bottom w:val="dotted" w:sz="6" w:space="0" w:color="D5D5D5"/>
              <w:right w:val="single" w:sz="6" w:space="0" w:color="DDDDDD"/>
            </w:tcBorders>
            <w:shd w:val="clear" w:color="auto" w:fill="F5F5F5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:rsidR="00980740" w:rsidRPr="00980740" w:rsidRDefault="00980740" w:rsidP="00980740">
            <w:pPr>
              <w:spacing w:after="0" w:line="240" w:lineRule="auto"/>
            </w:pPr>
            <w:r w:rsidRPr="00980740">
              <w:t>Faturamento acima de R$ 4,8 milhões no ano-calendário 2017</w:t>
            </w:r>
          </w:p>
        </w:tc>
        <w:tc>
          <w:tcPr>
            <w:tcW w:w="0" w:type="auto"/>
            <w:tcBorders>
              <w:bottom w:val="dotted" w:sz="6" w:space="0" w:color="D5D5D5"/>
              <w:right w:val="single" w:sz="6" w:space="0" w:color="DDDDDD"/>
            </w:tcBorders>
            <w:shd w:val="clear" w:color="auto" w:fill="F5F5F5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:rsidR="00980740" w:rsidRPr="00980740" w:rsidRDefault="00980740" w:rsidP="00980740">
            <w:pPr>
              <w:spacing w:after="0" w:line="240" w:lineRule="auto"/>
            </w:pPr>
            <w:r w:rsidRPr="00980740">
              <w:t>Demais obrigados, exceto órgãos públicos e organismos internacionais. </w:t>
            </w:r>
          </w:p>
        </w:tc>
      </w:tr>
      <w:tr w:rsidR="00980740" w:rsidRPr="00980740" w:rsidTr="00980740">
        <w:tc>
          <w:tcPr>
            <w:tcW w:w="0" w:type="auto"/>
            <w:tcBorders>
              <w:bottom w:val="dotted" w:sz="6" w:space="0" w:color="D5D5D5"/>
              <w:right w:val="single" w:sz="6" w:space="0" w:color="DDDDDD"/>
            </w:tcBorders>
            <w:shd w:val="clear" w:color="auto" w:fill="F5F5F5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:rsidR="00980740" w:rsidRPr="00980740" w:rsidRDefault="00980740" w:rsidP="00980740">
            <w:pPr>
              <w:spacing w:after="0" w:line="240" w:lineRule="auto"/>
            </w:pPr>
            <w:r w:rsidRPr="00980740">
              <w:t>Empresas que optaram pela adesão antecipada.</w:t>
            </w:r>
          </w:p>
        </w:tc>
        <w:tc>
          <w:tcPr>
            <w:tcW w:w="0" w:type="auto"/>
            <w:tcBorders>
              <w:bottom w:val="dotted" w:sz="6" w:space="0" w:color="D5D5D5"/>
              <w:right w:val="single" w:sz="6" w:space="0" w:color="DDDDDD"/>
            </w:tcBorders>
            <w:shd w:val="clear" w:color="auto" w:fill="F5F5F5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:rsidR="00980740" w:rsidRPr="00980740" w:rsidRDefault="00980740" w:rsidP="00980740">
            <w:pPr>
              <w:spacing w:after="0" w:line="240" w:lineRule="auto"/>
            </w:pPr>
          </w:p>
        </w:tc>
        <w:tc>
          <w:tcPr>
            <w:tcW w:w="0" w:type="auto"/>
            <w:tcBorders>
              <w:bottom w:val="dotted" w:sz="6" w:space="0" w:color="D5D5D5"/>
              <w:right w:val="single" w:sz="6" w:space="0" w:color="DDDDDD"/>
            </w:tcBorders>
            <w:shd w:val="clear" w:color="auto" w:fill="F5F5F5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:rsidR="00980740" w:rsidRPr="00980740" w:rsidRDefault="00980740" w:rsidP="00980740">
            <w:pPr>
              <w:spacing w:after="0" w:line="240" w:lineRule="auto"/>
            </w:pPr>
            <w:r w:rsidRPr="00980740">
              <w:t>Empresas constituídas após o ano-calendário 2017, independentemente do faturamento.</w:t>
            </w:r>
          </w:p>
        </w:tc>
      </w:tr>
    </w:tbl>
    <w:p w:rsidR="00F95F18" w:rsidRDefault="00F95F18"/>
    <w:sectPr w:rsidR="00F95F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0740"/>
    <w:rsid w:val="00934C31"/>
    <w:rsid w:val="00980740"/>
    <w:rsid w:val="00F9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4C31"/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80740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807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807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4C31"/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80740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807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807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61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8" w:color="D7DCD8"/>
            <w:right w:val="none" w:sz="0" w:space="0" w:color="auto"/>
          </w:divBdr>
        </w:div>
        <w:div w:id="20178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0542">
          <w:marLeft w:val="0"/>
          <w:marRight w:val="240"/>
          <w:marTop w:val="231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1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receita.economia.gov.br/noticias/ascom/2019/abril/receita-altera-regras-relativas-a-entrega-da-dctfweb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receita.economia.gov.br/orientacao/tributaria/declaracoes-e-demonstrativos/DCTFWeb/dctfweb-declaracao-de-debitos-e-creditos-tributarios-federais-previdenciarios-e-de-outras-entidades-e-fundos" TargetMode="External"/><Relationship Id="rId5" Type="http://schemas.openxmlformats.org/officeDocument/2006/relationships/hyperlink" Target="http://normas.receita.fazenda.gov.br/sijut2consulta/link.action?visao=anotado&amp;idAto=10023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473</Words>
  <Characters>2555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Marcio</dc:creator>
  <cp:lastModifiedBy>Marcio</cp:lastModifiedBy>
  <cp:revision>1</cp:revision>
  <dcterms:created xsi:type="dcterms:W3CDTF">2019-04-23T10:18:00Z</dcterms:created>
  <dcterms:modified xsi:type="dcterms:W3CDTF">2019-04-23T10:19:00Z</dcterms:modified>
</cp:coreProperties>
</file>