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3C56" w:rsidRPr="004A10E1" w:rsidRDefault="00533C56" w:rsidP="00533C56">
      <w:pPr>
        <w:ind w:right="-1"/>
        <w:jc w:val="both"/>
        <w:rPr>
          <w:rFonts w:ascii="Book Antiqua" w:hAnsi="Book Antiqua" w:cs="Times New Roman"/>
          <w:b/>
          <w:u w:val="single"/>
        </w:rPr>
      </w:pPr>
      <w:r w:rsidRPr="004A10E1">
        <w:rPr>
          <w:rFonts w:ascii="Book Antiqua" w:hAnsi="Book Antiqua" w:cs="Times New Roman"/>
          <w:b/>
          <w:highlight w:val="cyan"/>
          <w:u w:val="single"/>
        </w:rPr>
        <w:t xml:space="preserve">Súmulas do </w:t>
      </w:r>
      <w:r>
        <w:rPr>
          <w:rFonts w:ascii="Book Antiqua" w:hAnsi="Book Antiqua" w:cs="Times New Roman"/>
          <w:b/>
          <w:highlight w:val="cyan"/>
          <w:u w:val="single"/>
        </w:rPr>
        <w:t>Tribunal Superior Eleitoral</w:t>
      </w:r>
      <w:r w:rsidRPr="004A10E1">
        <w:rPr>
          <w:rFonts w:ascii="Book Antiqua" w:hAnsi="Book Antiqua" w:cs="Times New Roman"/>
          <w:b/>
          <w:u w:val="single"/>
        </w:rPr>
        <w:t xml:space="preserve"> </w:t>
      </w:r>
    </w:p>
    <w:p w:rsidR="00533C56" w:rsidRPr="004A10E1" w:rsidRDefault="00533C56" w:rsidP="00533C56">
      <w:pPr>
        <w:ind w:right="-1"/>
        <w:jc w:val="both"/>
        <w:rPr>
          <w:rFonts w:ascii="Book Antiqua" w:hAnsi="Book Antiqua" w:cs="Times New Roman"/>
          <w:b/>
          <w:color w:val="FF0000"/>
        </w:rPr>
      </w:pPr>
      <w:r>
        <w:rPr>
          <w:rFonts w:ascii="Book Antiqua" w:hAnsi="Book Antiqua" w:cs="Times New Roman"/>
          <w:b/>
          <w:color w:val="FF0000"/>
        </w:rPr>
        <w:t>(Atualização</w:t>
      </w:r>
      <w:r w:rsidRPr="004A10E1">
        <w:rPr>
          <w:rFonts w:ascii="Book Antiqua" w:hAnsi="Book Antiqua" w:cs="Times New Roman"/>
          <w:b/>
          <w:color w:val="FF0000"/>
        </w:rPr>
        <w:t xml:space="preserve"> em </w:t>
      </w:r>
      <w:r w:rsidR="00A31686">
        <w:rPr>
          <w:rFonts w:ascii="Book Antiqua" w:hAnsi="Book Antiqua" w:cs="Times New Roman"/>
          <w:b/>
          <w:color w:val="FF0000"/>
        </w:rPr>
        <w:t>31</w:t>
      </w:r>
      <w:r w:rsidR="00F06567">
        <w:rPr>
          <w:rFonts w:ascii="Book Antiqua" w:hAnsi="Book Antiqua" w:cs="Times New Roman"/>
          <w:b/>
          <w:color w:val="FF0000"/>
        </w:rPr>
        <w:t>/08/</w:t>
      </w:r>
      <w:r>
        <w:rPr>
          <w:rFonts w:ascii="Book Antiqua" w:hAnsi="Book Antiqua" w:cs="Times New Roman"/>
          <w:b/>
          <w:color w:val="FF0000"/>
        </w:rPr>
        <w:t>2018</w:t>
      </w:r>
      <w:r w:rsidRPr="004A10E1">
        <w:rPr>
          <w:rFonts w:ascii="Book Antiqua" w:hAnsi="Book Antiqua" w:cs="Times New Roman"/>
          <w:b/>
          <w:color w:val="FF0000"/>
        </w:rPr>
        <w:t xml:space="preserve">: </w:t>
      </w:r>
      <w:r>
        <w:rPr>
          <w:rFonts w:ascii="Book Antiqua" w:hAnsi="Book Antiqua" w:cs="Times New Roman"/>
          <w:b/>
          <w:color w:val="FF0000"/>
        </w:rPr>
        <w:t>Inclusão de inúmeras súmulas que foram aprovadas no decorrer de 2016 a 2017</w:t>
      </w:r>
      <w:r w:rsidRPr="004A10E1">
        <w:rPr>
          <w:rFonts w:ascii="Book Antiqua" w:hAnsi="Book Antiqua" w:cs="Times New Roman"/>
          <w:b/>
          <w:color w:val="FF0000"/>
        </w:rPr>
        <w:t>) – Eduardo B. S. Teixeira.</w:t>
      </w:r>
    </w:p>
    <w:tbl>
      <w:tblPr>
        <w:tblStyle w:val="Tabelacomgrade"/>
        <w:tblW w:w="8647" w:type="dxa"/>
        <w:tblInd w:w="-147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647"/>
      </w:tblGrid>
      <w:tr w:rsidR="00533C56" w:rsidRPr="004A10E1" w:rsidTr="00DE1A1C"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533C56" w:rsidRPr="004A10E1" w:rsidRDefault="00533C56" w:rsidP="00DE1A1C">
            <w:pPr>
              <w:jc w:val="both"/>
              <w:rPr>
                <w:rFonts w:ascii="Book Antiqua" w:hAnsi="Book Antiqua" w:cs="Times New Roman"/>
                <w:b/>
              </w:rPr>
            </w:pPr>
            <w:r w:rsidRPr="004A10E1">
              <w:rPr>
                <w:rFonts w:ascii="Book Antiqua" w:hAnsi="Book Antiqua" w:cs="Times New Roman"/>
                <w:b/>
                <w:highlight w:val="yellow"/>
                <w:u w:val="single"/>
              </w:rPr>
              <w:t>Orientações</w:t>
            </w:r>
            <w:r w:rsidRPr="004A10E1">
              <w:rPr>
                <w:rFonts w:ascii="Book Antiqua" w:hAnsi="Book Antiqua" w:cs="Times New Roman"/>
                <w:b/>
                <w:highlight w:val="yellow"/>
              </w:rPr>
              <w:t>:</w:t>
            </w:r>
          </w:p>
          <w:p w:rsidR="00533C56" w:rsidRPr="004A10E1" w:rsidRDefault="00533C56" w:rsidP="00DE1A1C">
            <w:pPr>
              <w:jc w:val="both"/>
              <w:rPr>
                <w:rFonts w:ascii="Book Antiqua" w:hAnsi="Book Antiqua" w:cs="Times New Roman"/>
              </w:rPr>
            </w:pPr>
          </w:p>
          <w:p w:rsidR="00533C56" w:rsidRPr="004A10E1" w:rsidRDefault="00533C56" w:rsidP="00DE1A1C">
            <w:pPr>
              <w:jc w:val="both"/>
              <w:rPr>
                <w:rFonts w:ascii="Book Antiqua" w:hAnsi="Book Antiqua" w:cs="Times New Roman"/>
              </w:rPr>
            </w:pPr>
            <w:r w:rsidRPr="004A10E1">
              <w:rPr>
                <w:rFonts w:ascii="Book Antiqua" w:hAnsi="Book Antiqua" w:cs="Times New Roman"/>
                <w:b/>
              </w:rPr>
              <w:t>Súmulas válidas</w:t>
            </w:r>
            <w:r w:rsidRPr="004A10E1">
              <w:rPr>
                <w:rFonts w:ascii="Book Antiqua" w:hAnsi="Book Antiqua" w:cs="Times New Roman"/>
              </w:rPr>
              <w:t xml:space="preserve">: Em verde (Ex: </w:t>
            </w:r>
            <w:r w:rsidRPr="004A10E1">
              <w:rPr>
                <w:rFonts w:ascii="Book Antiqua" w:hAnsi="Book Antiqua" w:cs="Times New Roman"/>
                <w:b/>
                <w:highlight w:val="green"/>
              </w:rPr>
              <w:t>Súmula nº “x”</w:t>
            </w:r>
            <w:r w:rsidRPr="004A10E1">
              <w:rPr>
                <w:rFonts w:ascii="Book Antiqua" w:hAnsi="Book Antiqua" w:cs="Times New Roman"/>
              </w:rPr>
              <w:t xml:space="preserve">) </w:t>
            </w:r>
          </w:p>
          <w:p w:rsidR="00533C56" w:rsidRPr="004A10E1" w:rsidRDefault="00533C56" w:rsidP="00DE1A1C">
            <w:pPr>
              <w:jc w:val="both"/>
              <w:rPr>
                <w:rFonts w:ascii="Book Antiqua" w:hAnsi="Book Antiqua" w:cs="Times New Roman"/>
              </w:rPr>
            </w:pPr>
          </w:p>
          <w:p w:rsidR="00533C56" w:rsidRPr="004A10E1" w:rsidRDefault="00533C56" w:rsidP="00DE1A1C">
            <w:pPr>
              <w:jc w:val="both"/>
              <w:rPr>
                <w:rFonts w:ascii="Book Antiqua" w:hAnsi="Book Antiqua" w:cs="Times New Roman"/>
              </w:rPr>
            </w:pPr>
            <w:r w:rsidRPr="004A10E1">
              <w:rPr>
                <w:rFonts w:ascii="Book Antiqua" w:hAnsi="Book Antiqua" w:cs="Times New Roman"/>
                <w:b/>
              </w:rPr>
              <w:t>Súmulas com pouca relevância</w:t>
            </w:r>
            <w:r w:rsidRPr="004A10E1">
              <w:rPr>
                <w:rFonts w:ascii="Book Antiqua" w:hAnsi="Book Antiqua" w:cs="Times New Roman"/>
              </w:rPr>
              <w:t xml:space="preserve">: Em cinza (Ex: </w:t>
            </w:r>
            <w:r w:rsidRPr="004A10E1">
              <w:rPr>
                <w:rFonts w:ascii="Book Antiqua" w:hAnsi="Book Antiqua" w:cs="Times New Roman"/>
                <w:b/>
                <w:highlight w:val="lightGray"/>
              </w:rPr>
              <w:t>Súmula nº “y”</w:t>
            </w:r>
            <w:r w:rsidRPr="004A10E1">
              <w:rPr>
                <w:rFonts w:ascii="Book Antiqua" w:hAnsi="Book Antiqua" w:cs="Times New Roman"/>
              </w:rPr>
              <w:t>)</w:t>
            </w:r>
          </w:p>
          <w:p w:rsidR="00533C56" w:rsidRPr="004A10E1" w:rsidRDefault="00533C56" w:rsidP="00DE1A1C">
            <w:pPr>
              <w:jc w:val="both"/>
              <w:rPr>
                <w:rFonts w:ascii="Book Antiqua" w:hAnsi="Book Antiqua" w:cs="Times New Roman"/>
              </w:rPr>
            </w:pPr>
          </w:p>
          <w:p w:rsidR="00533C56" w:rsidRPr="004A10E1" w:rsidRDefault="00533C56" w:rsidP="00DE1A1C">
            <w:pPr>
              <w:jc w:val="both"/>
              <w:rPr>
                <w:rFonts w:ascii="Book Antiqua" w:hAnsi="Book Antiqua" w:cs="Times New Roman"/>
              </w:rPr>
            </w:pPr>
            <w:r w:rsidRPr="004A10E1">
              <w:rPr>
                <w:rFonts w:ascii="Book Antiqua" w:hAnsi="Book Antiqua" w:cs="Times New Roman"/>
                <w:b/>
              </w:rPr>
              <w:t>Súmulas canceladas</w:t>
            </w:r>
            <w:r w:rsidRPr="004A10E1">
              <w:rPr>
                <w:rFonts w:ascii="Book Antiqua" w:hAnsi="Book Antiqua" w:cs="Times New Roman"/>
              </w:rPr>
              <w:t xml:space="preserve">: Em vermelho (Ex: </w:t>
            </w:r>
            <w:r w:rsidRPr="004A10E1">
              <w:rPr>
                <w:rFonts w:ascii="Book Antiqua" w:hAnsi="Book Antiqua" w:cs="Times New Roman"/>
                <w:b/>
                <w:highlight w:val="red"/>
              </w:rPr>
              <w:t>Súmula nº “z”</w:t>
            </w:r>
            <w:r w:rsidRPr="004A10E1">
              <w:rPr>
                <w:rFonts w:ascii="Book Antiqua" w:hAnsi="Book Antiqua" w:cs="Times New Roman"/>
              </w:rPr>
              <w:t>)</w:t>
            </w:r>
          </w:p>
          <w:p w:rsidR="00533C56" w:rsidRPr="004A10E1" w:rsidRDefault="00533C56" w:rsidP="00DE1A1C">
            <w:pPr>
              <w:jc w:val="both"/>
              <w:rPr>
                <w:rFonts w:ascii="Book Antiqua" w:hAnsi="Book Antiqua" w:cs="Times New Roman"/>
              </w:rPr>
            </w:pPr>
          </w:p>
          <w:p w:rsidR="00533C56" w:rsidRPr="004A10E1" w:rsidRDefault="00533C56" w:rsidP="00DE1A1C">
            <w:pPr>
              <w:jc w:val="both"/>
              <w:rPr>
                <w:rFonts w:ascii="Book Antiqua" w:hAnsi="Book Antiqua" w:cs="Times New Roman"/>
                <w:b/>
                <w:u w:val="single"/>
              </w:rPr>
            </w:pPr>
            <w:r w:rsidRPr="004A10E1">
              <w:rPr>
                <w:rFonts w:ascii="Book Antiqua" w:hAnsi="Book Antiqua" w:cs="Times New Roman"/>
                <w:b/>
              </w:rPr>
              <w:t>Súmulas superadas</w:t>
            </w:r>
            <w:r w:rsidRPr="004A10E1">
              <w:rPr>
                <w:rFonts w:ascii="Book Antiqua" w:hAnsi="Book Antiqua" w:cs="Times New Roman"/>
              </w:rPr>
              <w:t xml:space="preserve">: Em roxo, ao final da súmula. Ex: </w:t>
            </w:r>
            <w:r w:rsidRPr="004A10E1">
              <w:rPr>
                <w:rFonts w:ascii="Book Antiqua" w:hAnsi="Book Antiqua" w:cs="Times New Roman"/>
                <w:b/>
                <w:u w:val="single"/>
              </w:rPr>
              <w:t>(</w:t>
            </w:r>
            <w:r w:rsidRPr="004A10E1">
              <w:rPr>
                <w:rFonts w:ascii="Book Antiqua" w:hAnsi="Book Antiqua" w:cs="Times New Roman"/>
                <w:b/>
                <w:highlight w:val="magenta"/>
                <w:u w:val="single"/>
              </w:rPr>
              <w:t>SUPERADA</w:t>
            </w:r>
            <w:r w:rsidRPr="004A10E1">
              <w:rPr>
                <w:rFonts w:ascii="Book Antiqua" w:hAnsi="Book Antiqua" w:cs="Times New Roman"/>
                <w:b/>
                <w:u w:val="single"/>
              </w:rPr>
              <w:t>)</w:t>
            </w:r>
          </w:p>
          <w:p w:rsidR="00533C56" w:rsidRPr="004A10E1" w:rsidRDefault="00533C56" w:rsidP="00DE1A1C">
            <w:pPr>
              <w:jc w:val="both"/>
              <w:rPr>
                <w:rFonts w:ascii="Book Antiqua" w:hAnsi="Book Antiqua" w:cs="Times New Roman"/>
                <w:b/>
                <w:u w:val="single"/>
              </w:rPr>
            </w:pPr>
          </w:p>
          <w:p w:rsidR="00533C56" w:rsidRPr="004A10E1" w:rsidRDefault="00533C56" w:rsidP="00DE1A1C">
            <w:pPr>
              <w:jc w:val="both"/>
              <w:rPr>
                <w:rFonts w:ascii="Book Antiqua" w:hAnsi="Book Antiqua" w:cs="Times New Roman"/>
                <w:b/>
                <w:u w:val="single"/>
              </w:rPr>
            </w:pPr>
            <w:r w:rsidRPr="004A10E1">
              <w:rPr>
                <w:rFonts w:ascii="Book Antiqua" w:hAnsi="Book Antiqua" w:cs="Times New Roman"/>
                <w:b/>
                <w:u w:val="single"/>
              </w:rPr>
              <w:t>Fontes</w:t>
            </w:r>
            <w:r w:rsidRPr="004A10E1">
              <w:rPr>
                <w:rFonts w:ascii="Book Antiqua" w:hAnsi="Book Antiqua" w:cs="Times New Roman"/>
                <w:b/>
              </w:rPr>
              <w:t xml:space="preserve">: </w:t>
            </w:r>
            <w:r w:rsidR="00BB43E5">
              <w:rPr>
                <w:rFonts w:ascii="Book Antiqua" w:hAnsi="Book Antiqua" w:cs="Times New Roman"/>
                <w:b/>
              </w:rPr>
              <w:t>Site do TSE</w:t>
            </w:r>
          </w:p>
        </w:tc>
      </w:tr>
    </w:tbl>
    <w:p w:rsidR="00533C56" w:rsidRDefault="00533C56" w:rsidP="00523797">
      <w:pPr>
        <w:jc w:val="both"/>
        <w:rPr>
          <w:rFonts w:ascii="Book Antiqua" w:hAnsi="Book Antiqua" w:cs="Times New Roman"/>
          <w:b/>
          <w:u w:val="single"/>
        </w:rPr>
      </w:pP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2718F3">
        <w:rPr>
          <w:rFonts w:ascii="Book Antiqua" w:hAnsi="Book Antiqua" w:cs="Times New Roman"/>
          <w:b/>
          <w:u w:val="single"/>
        </w:rPr>
        <w:t>SÚMULAS DO TSE</w:t>
      </w:r>
      <w:r w:rsidRPr="002718F3">
        <w:rPr>
          <w:rFonts w:ascii="Book Antiqua" w:hAnsi="Book Antiqua" w:cs="Times New Roman"/>
        </w:rPr>
        <w:t>:</w:t>
      </w: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  <w:b/>
          <w:highlight w:val="red"/>
        </w:rPr>
        <w:t>Sumula Nº 1</w:t>
      </w:r>
      <w:r w:rsidRPr="002718F3">
        <w:rPr>
          <w:rFonts w:ascii="Book Antiqua" w:hAnsi="Book Antiqua" w:cs="Times New Roman"/>
        </w:rPr>
        <w:t xml:space="preserve"> - </w:t>
      </w:r>
      <w:r w:rsidR="003E3998" w:rsidRPr="003E3998">
        <w:rPr>
          <w:rFonts w:ascii="Book Antiqua" w:hAnsi="Book Antiqua" w:cs="Times New Roman"/>
          <w:b/>
          <w:highlight w:val="magenta"/>
        </w:rPr>
        <w:t>(Cancelada)</w:t>
      </w:r>
    </w:p>
    <w:p w:rsidR="00523797" w:rsidRPr="00533C56" w:rsidRDefault="00523797" w:rsidP="00523797">
      <w:pPr>
        <w:jc w:val="both"/>
        <w:rPr>
          <w:rFonts w:ascii="Book Antiqua" w:hAnsi="Book Antiqua" w:cs="Times New Roman"/>
          <w:strike/>
        </w:rPr>
      </w:pPr>
      <w:r w:rsidRPr="00533C56">
        <w:rPr>
          <w:rFonts w:ascii="Book Antiqua" w:hAnsi="Book Antiqua" w:cs="Times New Roman"/>
          <w:strike/>
          <w:highlight w:val="red"/>
        </w:rPr>
        <w:t>Proposta a ação para desconstituir a decisão que rejeitou as contas, anteriormente à impugnação, fica suspensa a inelegibilidade (Lei Complementar no 64/90, art. 1°, I, g)</w:t>
      </w: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2718F3">
        <w:rPr>
          <w:rFonts w:ascii="Book Antiqua" w:hAnsi="Book Antiqua" w:cs="Times New Roman"/>
        </w:rPr>
        <w:t xml:space="preserve">Sumula Nº 2 </w:t>
      </w: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2718F3">
        <w:rPr>
          <w:rFonts w:ascii="Book Antiqua" w:hAnsi="Book Antiqua" w:cs="Times New Roman"/>
        </w:rPr>
        <w:t>Assinada e recebida a ficha de filiação partidária até o termo final do prazo fixado em lei, considera-se satisfeita a correspondente condição de elegibilidade, ainda que não tenha fluído, até a mesma data, o tríduo legal de impugnação.</w:t>
      </w: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2718F3">
        <w:rPr>
          <w:rFonts w:ascii="Book Antiqua" w:hAnsi="Book Antiqua" w:cs="Times New Roman"/>
        </w:rPr>
        <w:t>Sumula Nº 3</w:t>
      </w: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2718F3">
        <w:rPr>
          <w:rFonts w:ascii="Book Antiqua" w:hAnsi="Book Antiqua" w:cs="Times New Roman"/>
        </w:rPr>
        <w:t>No processo de registro de candidatos, não tendo o juiz aberto prazo para o suprimento de defeito da instrução do pedido, pode o documento, cuja falta houver motivado o indeferimento, ser juntado com o recurso ordinário.</w:t>
      </w: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</w:p>
    <w:p w:rsidR="003E3998" w:rsidRDefault="00523797" w:rsidP="00523797">
      <w:pPr>
        <w:jc w:val="both"/>
        <w:rPr>
          <w:rFonts w:ascii="Book Antiqua" w:hAnsi="Book Antiqua" w:cs="Times New Roman"/>
        </w:rPr>
      </w:pPr>
      <w:r w:rsidRPr="002718F3">
        <w:rPr>
          <w:rFonts w:ascii="Book Antiqua" w:hAnsi="Book Antiqua" w:cs="Times New Roman"/>
        </w:rPr>
        <w:t xml:space="preserve">Sumula Nº 4 </w:t>
      </w: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2718F3">
        <w:rPr>
          <w:rFonts w:ascii="Book Antiqua" w:hAnsi="Book Antiqua" w:cs="Times New Roman"/>
        </w:rPr>
        <w:t>Não havendo preferência entre candidatos que pretendam o registro da mesma variação nominal, defere-se o do que primeiro o tenha requerido.</w:t>
      </w: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</w:p>
    <w:p w:rsidR="003E3998" w:rsidRDefault="00523797" w:rsidP="00523797">
      <w:pPr>
        <w:jc w:val="both"/>
        <w:rPr>
          <w:rFonts w:ascii="Book Antiqua" w:hAnsi="Book Antiqua" w:cs="Times New Roman"/>
        </w:rPr>
      </w:pPr>
      <w:r w:rsidRPr="002718F3">
        <w:rPr>
          <w:rFonts w:ascii="Book Antiqua" w:hAnsi="Book Antiqua" w:cs="Times New Roman"/>
        </w:rPr>
        <w:t xml:space="preserve">Sumula Nº 5 </w:t>
      </w: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2718F3">
        <w:rPr>
          <w:rFonts w:ascii="Book Antiqua" w:hAnsi="Book Antiqua" w:cs="Times New Roman"/>
        </w:rPr>
        <w:t>Serventuário de cartório, celetista, não se inclui na exigência do art. 1°, II, l, da LC no 64/90.</w:t>
      </w: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2718F3">
        <w:rPr>
          <w:rFonts w:ascii="Book Antiqua" w:hAnsi="Book Antiqua" w:cs="Times New Roman"/>
        </w:rPr>
        <w:t xml:space="preserve">Sumula Nº 6 </w:t>
      </w:r>
    </w:p>
    <w:p w:rsidR="00523797" w:rsidRDefault="003E3998" w:rsidP="00523797">
      <w:pPr>
        <w:jc w:val="both"/>
        <w:rPr>
          <w:rFonts w:ascii="Book Antiqua" w:hAnsi="Book Antiqua" w:cs="Times New Roman"/>
        </w:rPr>
      </w:pPr>
      <w:r w:rsidRPr="003E3998">
        <w:rPr>
          <w:rFonts w:ascii="Book Antiqua" w:hAnsi="Book Antiqua" w:cs="Times New Roman"/>
        </w:rPr>
        <w:t>São inelegíveis para o cargo de Chefe do Executivo o cônjuge e os parentes, indicados no § 7º do art. 14 da Constituição Federal, do titular do mandato, salvo se este, reelegível, tenha falecido, renunciado ou se afastado definitivamente do cargo até seis meses antes do pleito.</w:t>
      </w:r>
    </w:p>
    <w:p w:rsidR="003E3998" w:rsidRPr="002718F3" w:rsidRDefault="003E3998" w:rsidP="00523797">
      <w:pPr>
        <w:jc w:val="both"/>
        <w:rPr>
          <w:rFonts w:ascii="Book Antiqua" w:hAnsi="Book Antiqua" w:cs="Times New Roman"/>
        </w:rPr>
      </w:pP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  <w:b/>
          <w:highlight w:val="red"/>
        </w:rPr>
        <w:t>Sumula Nº 7</w:t>
      </w:r>
      <w:r w:rsidRPr="002718F3">
        <w:rPr>
          <w:rFonts w:ascii="Book Antiqua" w:hAnsi="Book Antiqua" w:cs="Times New Roman"/>
        </w:rPr>
        <w:t xml:space="preserve"> - </w:t>
      </w:r>
      <w:r w:rsidR="003E3998" w:rsidRPr="003E3998">
        <w:rPr>
          <w:rFonts w:ascii="Book Antiqua" w:hAnsi="Book Antiqua" w:cs="Times New Roman"/>
          <w:b/>
          <w:highlight w:val="magenta"/>
        </w:rPr>
        <w:t>(Cancelada)</w:t>
      </w:r>
    </w:p>
    <w:p w:rsidR="00523797" w:rsidRPr="00533C56" w:rsidRDefault="00523797" w:rsidP="00523797">
      <w:pPr>
        <w:jc w:val="both"/>
        <w:rPr>
          <w:rFonts w:ascii="Book Antiqua" w:hAnsi="Book Antiqua" w:cs="Times New Roman"/>
          <w:strike/>
        </w:rPr>
      </w:pPr>
      <w:r w:rsidRPr="00533C56">
        <w:rPr>
          <w:rFonts w:ascii="Book Antiqua" w:hAnsi="Book Antiqua" w:cs="Times New Roman"/>
          <w:strike/>
          <w:highlight w:val="red"/>
        </w:rPr>
        <w:t>É inelegível para o cargo de prefeito a irmã da concubina do atual titular do mandato.</w:t>
      </w: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  <w:b/>
          <w:highlight w:val="red"/>
        </w:rPr>
        <w:t>Sumula Nº 8</w:t>
      </w:r>
      <w:r w:rsidRPr="002718F3">
        <w:rPr>
          <w:rFonts w:ascii="Book Antiqua" w:hAnsi="Book Antiqua" w:cs="Times New Roman"/>
        </w:rPr>
        <w:t xml:space="preserve"> - </w:t>
      </w:r>
      <w:r w:rsidR="003E3998" w:rsidRPr="003E3998">
        <w:rPr>
          <w:rFonts w:ascii="Book Antiqua" w:hAnsi="Book Antiqua" w:cs="Times New Roman"/>
          <w:b/>
          <w:highlight w:val="magenta"/>
        </w:rPr>
        <w:t>(Cancelada)</w:t>
      </w:r>
    </w:p>
    <w:p w:rsidR="00523797" w:rsidRPr="00533C56" w:rsidRDefault="00523797" w:rsidP="00523797">
      <w:pPr>
        <w:jc w:val="both"/>
        <w:rPr>
          <w:rFonts w:ascii="Book Antiqua" w:hAnsi="Book Antiqua" w:cs="Times New Roman"/>
          <w:strike/>
        </w:rPr>
      </w:pPr>
      <w:r w:rsidRPr="00533C56">
        <w:rPr>
          <w:rFonts w:ascii="Book Antiqua" w:hAnsi="Book Antiqua" w:cs="Times New Roman"/>
          <w:strike/>
          <w:highlight w:val="red"/>
        </w:rPr>
        <w:t>O vice-prefeito é inelegível para o mesmo cargo.</w:t>
      </w: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2718F3">
        <w:rPr>
          <w:rFonts w:ascii="Book Antiqua" w:hAnsi="Book Antiqua" w:cs="Times New Roman"/>
          <w:b/>
          <w:highlight w:val="green"/>
        </w:rPr>
        <w:t>Sumula Nº 9</w:t>
      </w:r>
      <w:r w:rsidRPr="002718F3">
        <w:rPr>
          <w:rFonts w:ascii="Book Antiqua" w:hAnsi="Book Antiqua" w:cs="Times New Roman"/>
        </w:rPr>
        <w:t xml:space="preserve"> </w:t>
      </w:r>
    </w:p>
    <w:p w:rsidR="00523797" w:rsidRPr="002718F3" w:rsidRDefault="00523797" w:rsidP="00523797">
      <w:pPr>
        <w:jc w:val="both"/>
        <w:rPr>
          <w:rFonts w:ascii="Book Antiqua" w:hAnsi="Book Antiqua" w:cs="Times New Roman"/>
          <w:b/>
          <w:u w:val="single"/>
        </w:rPr>
      </w:pPr>
      <w:r w:rsidRPr="002718F3">
        <w:rPr>
          <w:rFonts w:ascii="Book Antiqua" w:hAnsi="Book Antiqua" w:cs="Times New Roman"/>
        </w:rPr>
        <w:t xml:space="preserve">A suspensão de direitos políticos decorrente de condenação criminal transitada em julgado cessa com o cumprimento ou a extinção da pena, </w:t>
      </w:r>
      <w:r w:rsidRPr="002718F3">
        <w:rPr>
          <w:rFonts w:ascii="Book Antiqua" w:hAnsi="Book Antiqua" w:cs="Times New Roman"/>
          <w:b/>
          <w:highlight w:val="cyan"/>
        </w:rPr>
        <w:t>independendo de reabilitação ou de prova de reparação dos danos</w:t>
      </w:r>
      <w:r w:rsidRPr="002718F3">
        <w:rPr>
          <w:rFonts w:ascii="Book Antiqua" w:hAnsi="Book Antiqua" w:cs="Times New Roman"/>
        </w:rPr>
        <w:t>.</w:t>
      </w:r>
      <w:r w:rsidR="005B1C16" w:rsidRPr="002718F3">
        <w:rPr>
          <w:rFonts w:ascii="Book Antiqua" w:hAnsi="Book Antiqua" w:cs="Times New Roman"/>
        </w:rPr>
        <w:t xml:space="preserve"> </w:t>
      </w:r>
      <w:r w:rsidR="005B1C16" w:rsidRPr="002718F3">
        <w:rPr>
          <w:rFonts w:ascii="Book Antiqua" w:hAnsi="Book Antiqua" w:cs="Times New Roman"/>
          <w:b/>
          <w:color w:val="FF0000"/>
          <w:u w:val="single"/>
        </w:rPr>
        <w:t>(MPRR-2017)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671240" w:rsidRPr="002718F3" w:rsidTr="00671240">
        <w:tc>
          <w:tcPr>
            <w:tcW w:w="8494" w:type="dxa"/>
            <w:shd w:val="clear" w:color="auto" w:fill="CCFFFF"/>
          </w:tcPr>
          <w:p w:rsidR="00671240" w:rsidRPr="002718F3" w:rsidRDefault="00671240" w:rsidP="00671240">
            <w:pPr>
              <w:jc w:val="both"/>
              <w:rPr>
                <w:rFonts w:ascii="Book Antiqua" w:hAnsi="Book Antiqua" w:cs="Times New Roman"/>
                <w:b/>
              </w:rPr>
            </w:pPr>
            <w:r w:rsidRPr="002718F3">
              <w:rPr>
                <w:rFonts w:ascii="Book Antiqua" w:hAnsi="Book Antiqua" w:cs="Times New Roman"/>
                <w:b/>
              </w:rPr>
              <w:t>(</w:t>
            </w:r>
            <w:r w:rsidRPr="002718F3">
              <w:rPr>
                <w:rFonts w:ascii="Book Antiqua" w:hAnsi="Book Antiqua" w:cs="Times New Roman"/>
                <w:b/>
                <w:highlight w:val="yellow"/>
              </w:rPr>
              <w:t>MPGO-2016</w:t>
            </w:r>
            <w:r w:rsidRPr="002718F3">
              <w:rPr>
                <w:rFonts w:ascii="Book Antiqua" w:hAnsi="Book Antiqua" w:cs="Times New Roman"/>
                <w:b/>
              </w:rPr>
              <w:t>)</w:t>
            </w:r>
            <w:r w:rsidRPr="002718F3">
              <w:rPr>
                <w:rFonts w:ascii="Book Antiqua" w:hAnsi="Book Antiqua" w:cs="Times New Roman"/>
              </w:rPr>
              <w:t xml:space="preserve">: O término da suspensão dos direitos políticos decorrente de condenação criminal transitada em julgado independe de reabilitação, ou seja, para cessar essa causa de suspensão, basta o cumprimento ou a extinção da pena. </w:t>
            </w:r>
            <w:r w:rsidRPr="002718F3">
              <w:rPr>
                <w:rFonts w:ascii="Book Antiqua" w:hAnsi="Book Antiqua" w:cs="Times New Roman"/>
                <w:b/>
              </w:rPr>
              <w:t>B: Súmula 09, TSE.</w:t>
            </w:r>
          </w:p>
        </w:tc>
      </w:tr>
    </w:tbl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2718F3">
        <w:rPr>
          <w:rFonts w:ascii="Book Antiqua" w:hAnsi="Book Antiqua" w:cs="Times New Roman"/>
        </w:rPr>
        <w:t xml:space="preserve">Sumula Nº 10 </w:t>
      </w: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2718F3">
        <w:rPr>
          <w:rFonts w:ascii="Book Antiqua" w:hAnsi="Book Antiqua" w:cs="Times New Roman"/>
        </w:rPr>
        <w:t xml:space="preserve">No processo de registro de candidatos, quando a </w:t>
      </w:r>
      <w:proofErr w:type="spellStart"/>
      <w:r w:rsidRPr="002718F3">
        <w:rPr>
          <w:rFonts w:ascii="Book Antiqua" w:hAnsi="Book Antiqua" w:cs="Times New Roman"/>
        </w:rPr>
        <w:t>setença</w:t>
      </w:r>
      <w:proofErr w:type="spellEnd"/>
      <w:r w:rsidRPr="002718F3">
        <w:rPr>
          <w:rFonts w:ascii="Book Antiqua" w:hAnsi="Book Antiqua" w:cs="Times New Roman"/>
        </w:rPr>
        <w:t xml:space="preserve"> for entregue em Cartório antes de três dias contados da conclusão ao Juiz, o prazo para o recurso </w:t>
      </w:r>
      <w:proofErr w:type="spellStart"/>
      <w:r w:rsidRPr="002718F3">
        <w:rPr>
          <w:rFonts w:ascii="Book Antiqua" w:hAnsi="Book Antiqua" w:cs="Times New Roman"/>
        </w:rPr>
        <w:t>ordinário,salvo</w:t>
      </w:r>
      <w:proofErr w:type="spellEnd"/>
      <w:r w:rsidRPr="002718F3">
        <w:rPr>
          <w:rFonts w:ascii="Book Antiqua" w:hAnsi="Book Antiqua" w:cs="Times New Roman"/>
        </w:rPr>
        <w:t xml:space="preserve"> intimação pessoal anterior, só se conta do termo final daquele tríduo.</w:t>
      </w: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2718F3">
        <w:rPr>
          <w:rFonts w:ascii="Book Antiqua" w:hAnsi="Book Antiqua" w:cs="Times New Roman"/>
        </w:rPr>
        <w:t xml:space="preserve">Sumula Nº 11 </w:t>
      </w: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2718F3">
        <w:rPr>
          <w:rFonts w:ascii="Book Antiqua" w:hAnsi="Book Antiqua" w:cs="Times New Roman"/>
        </w:rPr>
        <w:t>No processo de registro de candidatos, o partido que não o impugnou não tem legitimidade para recorrer da sentença que o deferiu, salvo se se cuidar de matéria constitucional.</w:t>
      </w: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2718F3">
        <w:rPr>
          <w:rFonts w:ascii="Book Antiqua" w:hAnsi="Book Antiqua" w:cs="Times New Roman"/>
        </w:rPr>
        <w:t xml:space="preserve">Sumula Nº 12 </w:t>
      </w: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2718F3">
        <w:rPr>
          <w:rFonts w:ascii="Book Antiqua" w:hAnsi="Book Antiqua" w:cs="Times New Roman"/>
        </w:rPr>
        <w:t xml:space="preserve">São inelegíveis, no município desmembrado, e ainda não instalado, o cônjuge e os parentes </w:t>
      </w:r>
      <w:proofErr w:type="spellStart"/>
      <w:r w:rsidRPr="002718F3">
        <w:rPr>
          <w:rFonts w:ascii="Book Antiqua" w:hAnsi="Book Antiqua" w:cs="Times New Roman"/>
        </w:rPr>
        <w:t>consangüíneos</w:t>
      </w:r>
      <w:proofErr w:type="spellEnd"/>
      <w:r w:rsidRPr="002718F3">
        <w:rPr>
          <w:rFonts w:ascii="Book Antiqua" w:hAnsi="Book Antiqua" w:cs="Times New Roman"/>
        </w:rPr>
        <w:t xml:space="preserve"> ou afins, até o segundo grau ou por adoção, do prefeito do município-mãe, ou de quem o tenha substituído, dentro dos seis meses anteriores ao pleito, salvo se já titular de mandato eletivo.</w:t>
      </w: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2718F3">
        <w:rPr>
          <w:rFonts w:ascii="Book Antiqua" w:hAnsi="Book Antiqua" w:cs="Times New Roman"/>
        </w:rPr>
        <w:t xml:space="preserve">Sumula Nº 13 </w:t>
      </w: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2718F3">
        <w:rPr>
          <w:rFonts w:ascii="Book Antiqua" w:hAnsi="Book Antiqua" w:cs="Times New Roman"/>
        </w:rPr>
        <w:t xml:space="preserve">Não é </w:t>
      </w:r>
      <w:proofErr w:type="spellStart"/>
      <w:r w:rsidRPr="002718F3">
        <w:rPr>
          <w:rFonts w:ascii="Book Antiqua" w:hAnsi="Book Antiqua" w:cs="Times New Roman"/>
        </w:rPr>
        <w:t>auto-aplicável</w:t>
      </w:r>
      <w:proofErr w:type="spellEnd"/>
      <w:r w:rsidRPr="002718F3">
        <w:rPr>
          <w:rFonts w:ascii="Book Antiqua" w:hAnsi="Book Antiqua" w:cs="Times New Roman"/>
        </w:rPr>
        <w:t xml:space="preserve"> o § 9o, art. 14, da Constituição, com a redação da Emenda Constitucional de Revisão no 4/94.</w:t>
      </w: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  <w:b/>
          <w:highlight w:val="red"/>
        </w:rPr>
        <w:t>Sumula Nº 14</w:t>
      </w:r>
      <w:r w:rsidRPr="002718F3">
        <w:rPr>
          <w:rFonts w:ascii="Book Antiqua" w:hAnsi="Book Antiqua" w:cs="Times New Roman"/>
        </w:rPr>
        <w:t xml:space="preserve"> - </w:t>
      </w:r>
      <w:r w:rsidR="003E3998" w:rsidRPr="003E3998">
        <w:rPr>
          <w:rFonts w:ascii="Book Antiqua" w:hAnsi="Book Antiqua" w:cs="Times New Roman"/>
          <w:b/>
          <w:highlight w:val="magenta"/>
        </w:rPr>
        <w:t>(Cancelada)</w:t>
      </w:r>
    </w:p>
    <w:p w:rsidR="00523797" w:rsidRPr="00533C56" w:rsidRDefault="00523797" w:rsidP="00523797">
      <w:pPr>
        <w:jc w:val="both"/>
        <w:rPr>
          <w:rFonts w:ascii="Book Antiqua" w:hAnsi="Book Antiqua" w:cs="Times New Roman"/>
          <w:strike/>
        </w:rPr>
      </w:pPr>
      <w:r w:rsidRPr="00533C56">
        <w:rPr>
          <w:rFonts w:ascii="Book Antiqua" w:hAnsi="Book Antiqua" w:cs="Times New Roman"/>
          <w:strike/>
          <w:highlight w:val="red"/>
        </w:rPr>
        <w:t>A duplicidade de que cuida o parágrafo único do art. 22 da Lei no 9.096/95 somente fica caracterizada caso a nova filiação houver ocorrido após a remessa das listas previstas no parágrafo único do art. 58 da referida lei.</w:t>
      </w: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2718F3">
        <w:rPr>
          <w:rFonts w:ascii="Book Antiqua" w:hAnsi="Book Antiqua" w:cs="Times New Roman"/>
        </w:rPr>
        <w:t xml:space="preserve">Sumula Nº 15 </w:t>
      </w:r>
    </w:p>
    <w:p w:rsidR="00523797" w:rsidRDefault="003E3998" w:rsidP="00523797">
      <w:pPr>
        <w:jc w:val="both"/>
        <w:rPr>
          <w:rFonts w:ascii="Book Antiqua" w:hAnsi="Book Antiqua" w:cs="Times New Roman"/>
        </w:rPr>
      </w:pPr>
      <w:r w:rsidRPr="003E3998">
        <w:rPr>
          <w:rFonts w:ascii="Book Antiqua" w:hAnsi="Book Antiqua" w:cs="Times New Roman"/>
        </w:rPr>
        <w:t>O exercício de mandato eletivo não é circunstância capaz, por si só, de comprovar a condição de alfabetizado do candidato.</w:t>
      </w:r>
    </w:p>
    <w:p w:rsidR="003E3998" w:rsidRPr="002718F3" w:rsidRDefault="003E3998" w:rsidP="00523797">
      <w:pPr>
        <w:jc w:val="both"/>
        <w:rPr>
          <w:rFonts w:ascii="Book Antiqua" w:hAnsi="Book Antiqua" w:cs="Times New Roman"/>
        </w:rPr>
      </w:pP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  <w:b/>
          <w:highlight w:val="red"/>
        </w:rPr>
        <w:t>Sumula Nº 16</w:t>
      </w:r>
      <w:r w:rsidRPr="002718F3">
        <w:rPr>
          <w:rFonts w:ascii="Book Antiqua" w:hAnsi="Book Antiqua" w:cs="Times New Roman"/>
        </w:rPr>
        <w:t xml:space="preserve"> - </w:t>
      </w:r>
      <w:r w:rsidR="003E3998" w:rsidRPr="003E3998">
        <w:rPr>
          <w:rFonts w:ascii="Book Antiqua" w:hAnsi="Book Antiqua" w:cs="Times New Roman"/>
          <w:b/>
          <w:highlight w:val="magenta"/>
        </w:rPr>
        <w:t>(Cancelada)</w:t>
      </w:r>
    </w:p>
    <w:p w:rsidR="00523797" w:rsidRPr="00533C56" w:rsidRDefault="00523797" w:rsidP="00523797">
      <w:pPr>
        <w:jc w:val="both"/>
        <w:rPr>
          <w:rFonts w:ascii="Book Antiqua" w:hAnsi="Book Antiqua" w:cs="Times New Roman"/>
          <w:strike/>
        </w:rPr>
      </w:pPr>
      <w:r w:rsidRPr="00533C56">
        <w:rPr>
          <w:rFonts w:ascii="Book Antiqua" w:hAnsi="Book Antiqua" w:cs="Times New Roman"/>
          <w:strike/>
          <w:highlight w:val="red"/>
        </w:rPr>
        <w:t>A falta de abertura de conta bancária específica não é fundamento suficiente para a rejeição de contas de campanha eleitoral, desde que, por outros meios, se possa demonstrar sua regularidade (art. 34 da Lei 9.096, de 19.9.95).</w:t>
      </w: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  <w:b/>
          <w:highlight w:val="red"/>
        </w:rPr>
        <w:t>Sumula Nº 17</w:t>
      </w:r>
      <w:r w:rsidRPr="002718F3">
        <w:rPr>
          <w:rFonts w:ascii="Book Antiqua" w:hAnsi="Book Antiqua" w:cs="Times New Roman"/>
        </w:rPr>
        <w:t xml:space="preserve"> - </w:t>
      </w:r>
      <w:r w:rsidR="003E3998" w:rsidRPr="003E3998">
        <w:rPr>
          <w:rFonts w:ascii="Book Antiqua" w:hAnsi="Book Antiqua" w:cs="Times New Roman"/>
          <w:b/>
          <w:highlight w:val="magenta"/>
        </w:rPr>
        <w:t>(Cancelada)</w:t>
      </w:r>
    </w:p>
    <w:p w:rsidR="00523797" w:rsidRPr="00533C56" w:rsidRDefault="00523797" w:rsidP="00523797">
      <w:pPr>
        <w:jc w:val="both"/>
        <w:rPr>
          <w:rFonts w:ascii="Book Antiqua" w:hAnsi="Book Antiqua" w:cs="Times New Roman"/>
          <w:strike/>
        </w:rPr>
      </w:pPr>
      <w:r w:rsidRPr="00533C56">
        <w:rPr>
          <w:rFonts w:ascii="Book Antiqua" w:hAnsi="Book Antiqua" w:cs="Times New Roman"/>
          <w:strike/>
          <w:highlight w:val="red"/>
        </w:rPr>
        <w:t>Não é admissível a presunção de que o candidato, por ser beneficiário de propaganda eleitoral irregular, tenha prévio conhecimento de sua veiculação (</w:t>
      </w:r>
      <w:proofErr w:type="spellStart"/>
      <w:r w:rsidRPr="00533C56">
        <w:rPr>
          <w:rFonts w:ascii="Book Antiqua" w:hAnsi="Book Antiqua" w:cs="Times New Roman"/>
          <w:strike/>
          <w:highlight w:val="red"/>
        </w:rPr>
        <w:t>arts</w:t>
      </w:r>
      <w:proofErr w:type="spellEnd"/>
      <w:r w:rsidRPr="00533C56">
        <w:rPr>
          <w:rFonts w:ascii="Book Antiqua" w:hAnsi="Book Antiqua" w:cs="Times New Roman"/>
          <w:strike/>
          <w:highlight w:val="red"/>
        </w:rPr>
        <w:t>. 36 e 37 da Lei no 9.504, de 30/9/97).</w:t>
      </w: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2718F3">
        <w:rPr>
          <w:rFonts w:ascii="Book Antiqua" w:hAnsi="Book Antiqua" w:cs="Times New Roman"/>
          <w:highlight w:val="green"/>
        </w:rPr>
        <w:t>Sumula Nº 18</w:t>
      </w:r>
      <w:r w:rsidRPr="002718F3">
        <w:rPr>
          <w:rFonts w:ascii="Book Antiqua" w:hAnsi="Book Antiqua" w:cs="Times New Roman"/>
        </w:rPr>
        <w:t xml:space="preserve"> </w:t>
      </w:r>
    </w:p>
    <w:p w:rsidR="00523797" w:rsidRPr="002718F3" w:rsidRDefault="00523797" w:rsidP="00523797">
      <w:pPr>
        <w:jc w:val="both"/>
        <w:rPr>
          <w:rFonts w:ascii="Book Antiqua" w:hAnsi="Book Antiqua" w:cs="Times New Roman"/>
          <w:b/>
          <w:u w:val="single"/>
        </w:rPr>
      </w:pPr>
      <w:r w:rsidRPr="002718F3">
        <w:rPr>
          <w:rFonts w:ascii="Book Antiqua" w:hAnsi="Book Antiqua" w:cs="Times New Roman"/>
          <w:b/>
        </w:rPr>
        <w:t xml:space="preserve">Conquanto investido de poder de polícia, </w:t>
      </w:r>
      <w:r w:rsidRPr="003E3998">
        <w:rPr>
          <w:rFonts w:ascii="Book Antiqua" w:hAnsi="Book Antiqua" w:cs="Times New Roman"/>
          <w:b/>
          <w:highlight w:val="cyan"/>
        </w:rPr>
        <w:t>não tem legitimidade</w:t>
      </w:r>
      <w:r w:rsidRPr="002718F3">
        <w:rPr>
          <w:rFonts w:ascii="Book Antiqua" w:hAnsi="Book Antiqua" w:cs="Times New Roman"/>
          <w:b/>
        </w:rPr>
        <w:t xml:space="preserve"> o juiz eleitoral para, de ofício, instaurar procedimento com a finalidade de impor multa pela veiculação de propaganda eleitoral em desacordo com a Lei no 9.504/97</w:t>
      </w:r>
      <w:r w:rsidRPr="002718F3">
        <w:rPr>
          <w:rFonts w:ascii="Book Antiqua" w:hAnsi="Book Antiqua" w:cs="Times New Roman"/>
        </w:rPr>
        <w:t xml:space="preserve">. </w:t>
      </w:r>
      <w:r w:rsidRPr="002718F3">
        <w:rPr>
          <w:rFonts w:ascii="Book Antiqua" w:hAnsi="Book Antiqua" w:cs="Times New Roman"/>
          <w:b/>
          <w:color w:val="FF0000"/>
          <w:u w:val="single"/>
        </w:rPr>
        <w:t>(MPSC-2014)</w:t>
      </w:r>
      <w:r w:rsidR="00D50BAF" w:rsidRPr="002718F3">
        <w:rPr>
          <w:rFonts w:ascii="Book Antiqua" w:hAnsi="Book Antiqua" w:cs="Times New Roman"/>
          <w:b/>
          <w:color w:val="FF0000"/>
        </w:rPr>
        <w:t xml:space="preserve"> </w:t>
      </w:r>
      <w:r w:rsidR="00D50BAF" w:rsidRPr="002718F3">
        <w:rPr>
          <w:rFonts w:ascii="Book Antiqua" w:hAnsi="Book Antiqua" w:cs="Times New Roman"/>
          <w:b/>
          <w:color w:val="FF0000"/>
          <w:u w:val="single"/>
        </w:rPr>
        <w:t>(MPAM-2015)</w:t>
      </w: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2718F3">
        <w:rPr>
          <w:rFonts w:ascii="Book Antiqua" w:hAnsi="Book Antiqua" w:cs="Times New Roman"/>
        </w:rPr>
        <w:t xml:space="preserve">Sumula Nº 19 </w:t>
      </w:r>
    </w:p>
    <w:p w:rsidR="00523797" w:rsidRDefault="003E3998" w:rsidP="00523797">
      <w:pPr>
        <w:jc w:val="both"/>
        <w:rPr>
          <w:rFonts w:ascii="Book Antiqua" w:hAnsi="Book Antiqua" w:cs="Times New Roman"/>
        </w:rPr>
      </w:pPr>
      <w:r w:rsidRPr="003E3998">
        <w:rPr>
          <w:rFonts w:ascii="Book Antiqua" w:hAnsi="Book Antiqua" w:cs="Times New Roman"/>
        </w:rPr>
        <w:t>O prazo de inelegibilidade decorrente da condenação por abuso do poder econômico ou político tem início no dia da eleição em que este se verificou e finda no dia de igual número no oitavo ano seguinte (art. 22, XIV, da LC no 64/90).</w:t>
      </w:r>
    </w:p>
    <w:p w:rsidR="003E3998" w:rsidRPr="002718F3" w:rsidRDefault="003E3998" w:rsidP="00523797">
      <w:pPr>
        <w:jc w:val="both"/>
        <w:rPr>
          <w:rFonts w:ascii="Book Antiqua" w:hAnsi="Book Antiqua" w:cs="Times New Roman"/>
        </w:rPr>
      </w:pPr>
    </w:p>
    <w:p w:rsidR="00523797" w:rsidRPr="002718F3" w:rsidRDefault="00523797" w:rsidP="00523797">
      <w:pPr>
        <w:jc w:val="both"/>
        <w:rPr>
          <w:rFonts w:ascii="Book Antiqua" w:hAnsi="Book Antiqua" w:cs="Times New Roman"/>
        </w:rPr>
      </w:pPr>
      <w:r w:rsidRPr="002718F3">
        <w:rPr>
          <w:rFonts w:ascii="Book Antiqua" w:hAnsi="Book Antiqua" w:cs="Times New Roman"/>
        </w:rPr>
        <w:t>Sumula Nº 20 - Publicada no DJ de 21, 22 e 23/8/2000.</w:t>
      </w:r>
    </w:p>
    <w:p w:rsidR="00523797" w:rsidRDefault="003E3998" w:rsidP="00523797">
      <w:pPr>
        <w:jc w:val="both"/>
        <w:rPr>
          <w:rFonts w:ascii="Book Antiqua" w:hAnsi="Book Antiqua" w:cs="Times New Roman"/>
        </w:rPr>
      </w:pPr>
      <w:r w:rsidRPr="003E3998">
        <w:rPr>
          <w:rFonts w:ascii="Book Antiqua" w:hAnsi="Book Antiqua" w:cs="Times New Roman"/>
        </w:rPr>
        <w:lastRenderedPageBreak/>
        <w:t>A prova de filiação partidária daquele cujo nome não constou da lista de filiados de que trata o art. 19 da Lei nº 9.096/95, pode ser realizada por outros elementos de convicção, salvo quando se tratar de documentos produzidos unilateralmente, destituídos de fé pública.</w:t>
      </w:r>
    </w:p>
    <w:p w:rsidR="003E3998" w:rsidRPr="002718F3" w:rsidRDefault="003E3998" w:rsidP="00523797">
      <w:pPr>
        <w:jc w:val="both"/>
        <w:rPr>
          <w:rFonts w:ascii="Book Antiqua" w:hAnsi="Book Antiqua" w:cs="Times New Roman"/>
        </w:rPr>
      </w:pPr>
    </w:p>
    <w:p w:rsidR="00523797" w:rsidRPr="003E3998" w:rsidRDefault="00523797" w:rsidP="00523797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  <w:b/>
          <w:highlight w:val="red"/>
        </w:rPr>
        <w:t>Sumula Nº 21</w:t>
      </w:r>
      <w:r w:rsidRPr="003E3998">
        <w:rPr>
          <w:rFonts w:ascii="Book Antiqua" w:hAnsi="Book Antiqua" w:cs="Times New Roman"/>
        </w:rPr>
        <w:t xml:space="preserve"> - </w:t>
      </w:r>
      <w:r w:rsidR="003E3998" w:rsidRPr="003E3998">
        <w:rPr>
          <w:rFonts w:ascii="Book Antiqua" w:hAnsi="Book Antiqua" w:cs="Times New Roman"/>
          <w:b/>
          <w:highlight w:val="magenta"/>
        </w:rPr>
        <w:t>(Cancelada)</w:t>
      </w:r>
    </w:p>
    <w:p w:rsidR="00A43EA5" w:rsidRPr="00533C56" w:rsidRDefault="00523797" w:rsidP="00523797">
      <w:pPr>
        <w:jc w:val="both"/>
        <w:rPr>
          <w:rFonts w:ascii="Book Antiqua" w:hAnsi="Book Antiqua" w:cs="Times New Roman"/>
          <w:strike/>
        </w:rPr>
      </w:pPr>
      <w:r w:rsidRPr="00533C56">
        <w:rPr>
          <w:rFonts w:ascii="Book Antiqua" w:hAnsi="Book Antiqua" w:cs="Times New Roman"/>
          <w:strike/>
          <w:highlight w:val="red"/>
        </w:rPr>
        <w:t>O prazo para ajuizamento da representação contra doação de campanha acima do limite legal é de 180 dias, contados da data da diplomação.</w:t>
      </w:r>
      <w:r w:rsidR="00E80C62" w:rsidRPr="00533C56">
        <w:rPr>
          <w:rFonts w:ascii="Book Antiqua" w:hAnsi="Book Antiqua" w:cs="Times New Roman"/>
          <w:strike/>
        </w:rPr>
        <w:t xml:space="preserve"> </w:t>
      </w:r>
    </w:p>
    <w:p w:rsidR="00016498" w:rsidRDefault="00016498" w:rsidP="00523797">
      <w:pPr>
        <w:jc w:val="both"/>
        <w:rPr>
          <w:rFonts w:ascii="Book Antiqua" w:hAnsi="Book Antiqua" w:cs="Times New Roman"/>
          <w:strike/>
          <w:color w:val="FF0000"/>
        </w:rPr>
      </w:pPr>
    </w:p>
    <w:p w:rsidR="00016498" w:rsidRPr="00016498" w:rsidRDefault="00016498" w:rsidP="00016498">
      <w:pPr>
        <w:jc w:val="both"/>
        <w:rPr>
          <w:rFonts w:ascii="Book Antiqua" w:hAnsi="Book Antiqua" w:cs="Times New Roman"/>
        </w:rPr>
      </w:pPr>
      <w:r w:rsidRPr="00016498">
        <w:rPr>
          <w:rFonts w:ascii="Book Antiqua" w:hAnsi="Book Antiqua" w:cs="Times New Roman"/>
        </w:rPr>
        <w:t xml:space="preserve">Súmula </w:t>
      </w:r>
      <w:r w:rsidR="003E3998">
        <w:rPr>
          <w:rFonts w:ascii="Book Antiqua" w:hAnsi="Book Antiqua" w:cs="Times New Roman"/>
        </w:rPr>
        <w:t>N</w:t>
      </w:r>
      <w:r w:rsidRPr="00016498">
        <w:rPr>
          <w:rFonts w:ascii="Book Antiqua" w:hAnsi="Book Antiqua" w:cs="Times New Roman"/>
        </w:rPr>
        <w:t xml:space="preserve">º 22 </w:t>
      </w:r>
    </w:p>
    <w:p w:rsidR="00016498" w:rsidRDefault="003E3998" w:rsidP="00016498">
      <w:pPr>
        <w:jc w:val="both"/>
        <w:rPr>
          <w:rFonts w:ascii="Book Antiqua" w:hAnsi="Book Antiqua" w:cs="Times New Roman"/>
        </w:rPr>
      </w:pPr>
      <w:r w:rsidRPr="003E3998">
        <w:rPr>
          <w:rFonts w:ascii="Book Antiqua" w:hAnsi="Book Antiqua" w:cs="Times New Roman"/>
        </w:rPr>
        <w:t>Não cabe mandado de segurança contra decisão judicial recorrível, salvo situações de teratologia ou manifestamente ilegais</w:t>
      </w:r>
    </w:p>
    <w:p w:rsidR="00016498" w:rsidRPr="00016498" w:rsidRDefault="00016498" w:rsidP="00016498">
      <w:pPr>
        <w:jc w:val="both"/>
        <w:rPr>
          <w:rFonts w:ascii="Book Antiqua" w:hAnsi="Book Antiqua" w:cs="Times New Roman"/>
        </w:rPr>
      </w:pPr>
      <w:r w:rsidRPr="00016498">
        <w:rPr>
          <w:rFonts w:ascii="Book Antiqua" w:hAnsi="Book Antiqua" w:cs="Times New Roman"/>
        </w:rPr>
        <w:t>Súmula</w:t>
      </w:r>
      <w:r w:rsidR="003E3998">
        <w:rPr>
          <w:rFonts w:ascii="Book Antiqua" w:hAnsi="Book Antiqua" w:cs="Times New Roman"/>
        </w:rPr>
        <w:t xml:space="preserve"> N</w:t>
      </w:r>
      <w:r w:rsidRPr="00016498">
        <w:rPr>
          <w:rFonts w:ascii="Book Antiqua" w:hAnsi="Book Antiqua" w:cs="Times New Roman"/>
        </w:rPr>
        <w:t xml:space="preserve">º 23 </w:t>
      </w:r>
    </w:p>
    <w:p w:rsidR="005F7015" w:rsidRDefault="003E3998" w:rsidP="00016498">
      <w:pPr>
        <w:jc w:val="both"/>
        <w:rPr>
          <w:rFonts w:ascii="Book Antiqua" w:hAnsi="Book Antiqua" w:cs="Times New Roman"/>
        </w:rPr>
      </w:pPr>
      <w:r w:rsidRPr="003E3998">
        <w:rPr>
          <w:rFonts w:ascii="Book Antiqua" w:hAnsi="Book Antiqua" w:cs="Times New Roman"/>
        </w:rPr>
        <w:t>Não cabe mandado de segurança contra decisão judicial transitada em julgado.</w:t>
      </w:r>
    </w:p>
    <w:p w:rsidR="003E3998" w:rsidRDefault="003E3998" w:rsidP="00016498">
      <w:pPr>
        <w:jc w:val="both"/>
        <w:rPr>
          <w:rFonts w:ascii="Book Antiqua" w:hAnsi="Book Antiqua" w:cs="Times New Roman"/>
        </w:rPr>
      </w:pPr>
    </w:p>
    <w:p w:rsidR="00016498" w:rsidRPr="00016498" w:rsidRDefault="00016498" w:rsidP="00016498">
      <w:pPr>
        <w:jc w:val="both"/>
        <w:rPr>
          <w:rFonts w:ascii="Book Antiqua" w:hAnsi="Book Antiqua" w:cs="Times New Roman"/>
        </w:rPr>
      </w:pPr>
      <w:r w:rsidRPr="00016498">
        <w:rPr>
          <w:rFonts w:ascii="Book Antiqua" w:hAnsi="Book Antiqua" w:cs="Times New Roman"/>
        </w:rPr>
        <w:t xml:space="preserve">Súmula </w:t>
      </w:r>
      <w:r w:rsidR="003E3998">
        <w:rPr>
          <w:rFonts w:ascii="Book Antiqua" w:hAnsi="Book Antiqua" w:cs="Times New Roman"/>
        </w:rPr>
        <w:t>N</w:t>
      </w:r>
      <w:r w:rsidRPr="00016498">
        <w:rPr>
          <w:rFonts w:ascii="Book Antiqua" w:hAnsi="Book Antiqua" w:cs="Times New Roman"/>
        </w:rPr>
        <w:t xml:space="preserve">º 24 </w:t>
      </w:r>
    </w:p>
    <w:p w:rsidR="003E3998" w:rsidRDefault="00016498" w:rsidP="00016498">
      <w:pPr>
        <w:jc w:val="both"/>
        <w:rPr>
          <w:rFonts w:ascii="Book Antiqua" w:hAnsi="Book Antiqua" w:cs="Times New Roman"/>
        </w:rPr>
      </w:pPr>
      <w:r w:rsidRPr="00016498">
        <w:rPr>
          <w:rFonts w:ascii="Book Antiqua" w:hAnsi="Book Antiqua" w:cs="Times New Roman"/>
        </w:rPr>
        <w:t xml:space="preserve">Não cabe recurso especial eleitoral para simples reexame do conjunto fático-probatório. </w:t>
      </w:r>
    </w:p>
    <w:p w:rsidR="003E3998" w:rsidRDefault="003E3998" w:rsidP="00016498">
      <w:pPr>
        <w:jc w:val="both"/>
        <w:rPr>
          <w:rFonts w:ascii="Book Antiqua" w:hAnsi="Book Antiqua" w:cs="Times New Roman"/>
        </w:rPr>
      </w:pPr>
    </w:p>
    <w:p w:rsidR="00016498" w:rsidRPr="00016498" w:rsidRDefault="00016498" w:rsidP="00016498">
      <w:pPr>
        <w:jc w:val="both"/>
        <w:rPr>
          <w:rFonts w:ascii="Book Antiqua" w:hAnsi="Book Antiqua" w:cs="Times New Roman"/>
        </w:rPr>
      </w:pPr>
      <w:r w:rsidRPr="00016498">
        <w:rPr>
          <w:rFonts w:ascii="Book Antiqua" w:hAnsi="Book Antiqua" w:cs="Times New Roman"/>
        </w:rPr>
        <w:t xml:space="preserve">Súmula </w:t>
      </w:r>
      <w:r w:rsidR="003E3998">
        <w:rPr>
          <w:rFonts w:ascii="Book Antiqua" w:hAnsi="Book Antiqua" w:cs="Times New Roman"/>
        </w:rPr>
        <w:t>N</w:t>
      </w:r>
      <w:r w:rsidRPr="00016498">
        <w:rPr>
          <w:rFonts w:ascii="Book Antiqua" w:hAnsi="Book Antiqua" w:cs="Times New Roman"/>
        </w:rPr>
        <w:t xml:space="preserve">º 25 </w:t>
      </w:r>
    </w:p>
    <w:p w:rsidR="003E3998" w:rsidRDefault="00016498" w:rsidP="00016498">
      <w:pPr>
        <w:jc w:val="both"/>
        <w:rPr>
          <w:rFonts w:ascii="Book Antiqua" w:hAnsi="Book Antiqua" w:cs="Times New Roman"/>
        </w:rPr>
      </w:pPr>
      <w:r w:rsidRPr="00016498">
        <w:rPr>
          <w:rFonts w:ascii="Book Antiqua" w:hAnsi="Book Antiqua" w:cs="Times New Roman"/>
        </w:rPr>
        <w:t xml:space="preserve">É indispensável o esgotamento das instâncias ordinárias para a interposição de recurso especial eleitoral. </w:t>
      </w:r>
    </w:p>
    <w:p w:rsidR="003E3998" w:rsidRDefault="003E3998" w:rsidP="00016498">
      <w:pPr>
        <w:jc w:val="both"/>
        <w:rPr>
          <w:rFonts w:ascii="Book Antiqua" w:hAnsi="Book Antiqua" w:cs="Times New Roman"/>
        </w:rPr>
      </w:pPr>
    </w:p>
    <w:p w:rsidR="00016498" w:rsidRPr="00016498" w:rsidRDefault="00016498" w:rsidP="00016498">
      <w:pPr>
        <w:jc w:val="both"/>
        <w:rPr>
          <w:rFonts w:ascii="Book Antiqua" w:hAnsi="Book Antiqua" w:cs="Times New Roman"/>
        </w:rPr>
      </w:pPr>
      <w:r w:rsidRPr="00016498">
        <w:rPr>
          <w:rFonts w:ascii="Book Antiqua" w:hAnsi="Book Antiqua" w:cs="Times New Roman"/>
        </w:rPr>
        <w:t>Súmula</w:t>
      </w:r>
      <w:r w:rsidR="003E3998">
        <w:rPr>
          <w:rFonts w:ascii="Book Antiqua" w:hAnsi="Book Antiqua" w:cs="Times New Roman"/>
        </w:rPr>
        <w:t xml:space="preserve"> N</w:t>
      </w:r>
      <w:r w:rsidRPr="00016498">
        <w:rPr>
          <w:rFonts w:ascii="Book Antiqua" w:hAnsi="Book Antiqua" w:cs="Times New Roman"/>
        </w:rPr>
        <w:t xml:space="preserve">º 26 </w:t>
      </w:r>
    </w:p>
    <w:p w:rsidR="00016498" w:rsidRDefault="00016498" w:rsidP="00016498">
      <w:pPr>
        <w:jc w:val="both"/>
        <w:rPr>
          <w:rFonts w:ascii="Book Antiqua" w:hAnsi="Book Antiqua" w:cs="Times New Roman"/>
        </w:rPr>
      </w:pPr>
      <w:r w:rsidRPr="00016498">
        <w:rPr>
          <w:rFonts w:ascii="Book Antiqua" w:hAnsi="Book Antiqua" w:cs="Times New Roman"/>
        </w:rPr>
        <w:t xml:space="preserve">É inadmissível o recurso que deixa de impugnar especificamente fundamento da decisão recorrida que é, por si só, suficiente para a manutenção desta. </w:t>
      </w:r>
    </w:p>
    <w:p w:rsidR="00BD4F4E" w:rsidRDefault="00BD4F4E" w:rsidP="00016498">
      <w:pPr>
        <w:jc w:val="both"/>
        <w:rPr>
          <w:rFonts w:ascii="Book Antiqua" w:hAnsi="Book Antiqua" w:cs="Times New Roman"/>
        </w:rPr>
      </w:pPr>
    </w:p>
    <w:p w:rsidR="00BD4F4E" w:rsidRPr="00016498" w:rsidRDefault="00BD4F4E" w:rsidP="00BD4F4E">
      <w:pPr>
        <w:jc w:val="both"/>
        <w:rPr>
          <w:rFonts w:ascii="Book Antiqua" w:hAnsi="Book Antiqua" w:cs="Times New Roman"/>
        </w:rPr>
      </w:pPr>
      <w:r w:rsidRPr="00016498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016498">
        <w:rPr>
          <w:rFonts w:ascii="Book Antiqua" w:hAnsi="Book Antiqua" w:cs="Times New Roman"/>
        </w:rPr>
        <w:t>º 2</w:t>
      </w:r>
      <w:r>
        <w:rPr>
          <w:rFonts w:ascii="Book Antiqua" w:hAnsi="Book Antiqua" w:cs="Times New Roman"/>
        </w:rPr>
        <w:t>7</w:t>
      </w:r>
      <w:r w:rsidRPr="00016498">
        <w:rPr>
          <w:rFonts w:ascii="Book Antiqua" w:hAnsi="Book Antiqua" w:cs="Times New Roman"/>
        </w:rPr>
        <w:t xml:space="preserve"> </w:t>
      </w:r>
    </w:p>
    <w:p w:rsidR="00BD4F4E" w:rsidRDefault="00BD4F4E" w:rsidP="00016498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É inadmissível recurso cuja deficiência de fundamentação impossibilite a compreensão da controvérsia.</w:t>
      </w:r>
    </w:p>
    <w:p w:rsidR="00BD4F4E" w:rsidRDefault="00BD4F4E" w:rsidP="00016498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28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 xml:space="preserve">A divergência jurisprudencial que fundamenta o recurso especial interposto com base na alínea b do inciso I do art. 276 do Código Eleitoral somente estará demonstrada mediante a realização de cotejo analítico e a existência de similitude fática entre os acórdãos paradigma e o aresto recorrido.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29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 xml:space="preserve">A divergência entre julgados do mesmo Tribunal não se presta a configurar dissídio jurisprudencial apto a fundamentar recurso especial eleitoral.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30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 xml:space="preserve">Não se conhece de recurso especial eleitoral por dissídio jurisprudencial, quando a decisão recorrida estiver em conformidade com a jurisprudência do Tribunal Superior Eleitoral.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31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 xml:space="preserve">Não cabe recurso especial eleitoral contra acórdão que decide sobre pedido de medida liminar.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32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 xml:space="preserve">É inadmissível recurso especial eleitoral por violação à legislação municipal ou estadual, ao Regimento Interno dos Tribunais Eleitorais ou às normas partidárias.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33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Somente é cabível ação rescisória de decisões do Tribunal Superior Eleitoral que versem sobre a incidência de causa de inelegibilidade.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34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 xml:space="preserve">Não compete ao Tribunal Superior Eleitoral processar e julgar mandado de segurança contra ato de membro de Tribunal Regional Eleitoral.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35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Não é cabível reclamação para arguir o descumprimento de resposta a consulta ou de ato normativo do Tribunal Superior Eleitoral.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36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 xml:space="preserve">Cabe recurso ordinário de acórdão de Tribunal Regional Eleitoral que decida sobre inelegibilidade, expedição ou anulação de diploma ou perda de mandato eletivo nas eleições federais ou estaduais (art. 121, § 4º, incisos III e IV, da Constituição Federal).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37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 xml:space="preserve">Compete originariamente ao Tribunal Superior Eleitoral processar e julgar recurso contra expedição de diploma envolvendo eleições federais ou estaduais.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38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 xml:space="preserve">Nas ações que visem à cassação de registro, diploma ou mandato, há litisconsórcio passivo necessário entre o titular e o respectivo vice da chapa majoritária.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>º 39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 xml:space="preserve">Não há formação de litisconsórcio necessário em processos de registro de candidatura.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40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O partido político não é litisconsorte passivo necessário em ações que visem à cassação de diploma.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41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 xml:space="preserve">Não cabe à Justiça Eleitoral decidir sobre o acerto ou desacerto das decisões proferidas por outros Órgãos do Judiciário ou dos Tribunais de Contas que configurem causa de inelegibilidade.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42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 xml:space="preserve">A decisão que julga não prestadas as contas de campanha impede o candidato de obter a certidão de quitação eleitoral durante o curso do mandato ao qual concorreu, persistindo esses efeitos, após esse período, até a efetiva apresentação das contas.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43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 xml:space="preserve">As alterações fáticas ou jurídicas supervenientes ao registro que beneficiem o candidato, nos termos da parte final do art. 11, § 10, da Lei n° 9.504/97, também devem ser admitidas para as condições de elegibilidade.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44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 xml:space="preserve">O disposto no art. 26-C da LC nº 64/90 não afasta o poder geral de cautela conferido ao magistrado pelo Código de Processo Civil.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F06567" w:rsidRDefault="00BD4F4E" w:rsidP="00BD4F4E">
      <w:pPr>
        <w:jc w:val="both"/>
        <w:rPr>
          <w:rFonts w:ascii="Book Antiqua" w:hAnsi="Book Antiqua" w:cs="Times New Roman"/>
        </w:rPr>
      </w:pPr>
      <w:r w:rsidRPr="00F06567">
        <w:rPr>
          <w:rFonts w:ascii="Book Antiqua" w:hAnsi="Book Antiqua" w:cs="Times New Roman"/>
          <w:highlight w:val="green"/>
        </w:rPr>
        <w:t>Súmula Nº 45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 xml:space="preserve">Nos processos de registro de candidatura, o Juiz Eleitoral </w:t>
      </w:r>
      <w:r w:rsidRPr="00F06567">
        <w:rPr>
          <w:rFonts w:ascii="Book Antiqua" w:hAnsi="Book Antiqua" w:cs="Times New Roman"/>
          <w:b/>
          <w:caps/>
          <w:highlight w:val="green"/>
        </w:rPr>
        <w:t>pode conhecer</w:t>
      </w:r>
      <w:r w:rsidRPr="00BD4F4E">
        <w:rPr>
          <w:rFonts w:ascii="Book Antiqua" w:hAnsi="Book Antiqua" w:cs="Times New Roman"/>
        </w:rPr>
        <w:t xml:space="preserve"> </w:t>
      </w:r>
      <w:r w:rsidRPr="00F06567">
        <w:rPr>
          <w:rFonts w:ascii="Book Antiqua" w:hAnsi="Book Antiqua" w:cs="Times New Roman"/>
          <w:b/>
          <w:highlight w:val="yellow"/>
        </w:rPr>
        <w:t>de ofício</w:t>
      </w:r>
      <w:r w:rsidRPr="00BD4F4E">
        <w:rPr>
          <w:rFonts w:ascii="Book Antiqua" w:hAnsi="Book Antiqua" w:cs="Times New Roman"/>
        </w:rPr>
        <w:t xml:space="preserve"> da </w:t>
      </w:r>
      <w:r w:rsidRPr="00F06567">
        <w:rPr>
          <w:rFonts w:ascii="Book Antiqua" w:hAnsi="Book Antiqua" w:cs="Times New Roman"/>
          <w:b/>
          <w:highlight w:val="cyan"/>
        </w:rPr>
        <w:t>existência de causas de inelegibilidade</w:t>
      </w:r>
      <w:r w:rsidRPr="00BD4F4E">
        <w:rPr>
          <w:rFonts w:ascii="Book Antiqua" w:hAnsi="Book Antiqua" w:cs="Times New Roman"/>
        </w:rPr>
        <w:t xml:space="preserve"> ou da ausência de condição de elegibilidade, desde que resguardados o contraditório e a ampla defesa. 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F06567" w:rsidRPr="002718F3" w:rsidTr="00EF2E0F">
        <w:tc>
          <w:tcPr>
            <w:tcW w:w="8494" w:type="dxa"/>
            <w:shd w:val="clear" w:color="auto" w:fill="CCFFFF"/>
          </w:tcPr>
          <w:p w:rsidR="00F06567" w:rsidRPr="002718F3" w:rsidRDefault="00F06567" w:rsidP="00EF2E0F">
            <w:pPr>
              <w:jc w:val="both"/>
              <w:rPr>
                <w:rFonts w:ascii="Book Antiqua" w:hAnsi="Book Antiqua" w:cs="Times New Roman"/>
                <w:b/>
              </w:rPr>
            </w:pPr>
            <w:r w:rsidRPr="002718F3">
              <w:rPr>
                <w:rFonts w:ascii="Book Antiqua" w:hAnsi="Book Antiqua" w:cs="Times New Roman"/>
                <w:b/>
              </w:rPr>
              <w:t>(</w:t>
            </w:r>
            <w:r>
              <w:rPr>
                <w:rFonts w:ascii="Book Antiqua" w:hAnsi="Book Antiqua" w:cs="Times New Roman"/>
                <w:b/>
                <w:highlight w:val="yellow"/>
              </w:rPr>
              <w:t>TJCE-2018-CESPE</w:t>
            </w:r>
            <w:r w:rsidRPr="002718F3">
              <w:rPr>
                <w:rFonts w:ascii="Book Antiqua" w:hAnsi="Book Antiqua" w:cs="Times New Roman"/>
                <w:b/>
              </w:rPr>
              <w:t>)</w:t>
            </w:r>
            <w:r w:rsidRPr="002718F3">
              <w:rPr>
                <w:rFonts w:ascii="Book Antiqua" w:hAnsi="Book Antiqua" w:cs="Times New Roman"/>
              </w:rPr>
              <w:t xml:space="preserve">: </w:t>
            </w:r>
            <w:r w:rsidRPr="00F06567">
              <w:rPr>
                <w:rFonts w:ascii="Book Antiqua" w:hAnsi="Book Antiqua" w:cs="Times New Roman"/>
              </w:rPr>
              <w:t>É correto afirmar que a inelegibilidade</w:t>
            </w:r>
            <w:r>
              <w:rPr>
                <w:rFonts w:ascii="Book Antiqua" w:hAnsi="Book Antiqua" w:cs="Times New Roman"/>
              </w:rPr>
              <w:t xml:space="preserve"> </w:t>
            </w:r>
            <w:r w:rsidRPr="00F06567">
              <w:rPr>
                <w:rFonts w:ascii="Book Antiqua" w:hAnsi="Book Antiqua" w:cs="Times New Roman"/>
              </w:rPr>
              <w:t xml:space="preserve">pode ser reconhecida de ofício pela justiça eleitoral nos processos de registro de candidatura. </w:t>
            </w:r>
            <w:r w:rsidRPr="002718F3">
              <w:rPr>
                <w:rFonts w:ascii="Book Antiqua" w:hAnsi="Book Antiqua" w:cs="Times New Roman"/>
                <w:b/>
              </w:rPr>
              <w:t xml:space="preserve">B: Súmula </w:t>
            </w:r>
            <w:r>
              <w:rPr>
                <w:rFonts w:ascii="Book Antiqua" w:hAnsi="Book Antiqua" w:cs="Times New Roman"/>
                <w:b/>
              </w:rPr>
              <w:t>45</w:t>
            </w:r>
            <w:r w:rsidRPr="002718F3">
              <w:rPr>
                <w:rFonts w:ascii="Book Antiqua" w:hAnsi="Book Antiqua" w:cs="Times New Roman"/>
                <w:b/>
              </w:rPr>
              <w:t>, TSE.</w:t>
            </w:r>
          </w:p>
        </w:tc>
      </w:tr>
    </w:tbl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46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 xml:space="preserve">É ilícita a prova colhida por meio da quebra do sigilo fiscal sem prévia e fundamentada autorização judicial, podendo o Ministério Público Eleitoral acessar diretamente apenas a relação dos doadores que excederam os limites legais, para os fins da representação cabível, em que poderá requerer, judicialmente e de forma individualizada, o acesso aos dados relativos aos rendimentos do doador.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47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 xml:space="preserve">A inelegibilidade superveniente que autoriza a interposição de recurso contra expedição de diploma, fundado no art. 262 do Código Eleitoral, é aquela de índole constitucional ou, se infraconstitucional, superveniente ao registro de candidatura, e que surge até a data do pleito.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48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A retirada da propaganda irregular, quando realizada em bem particular, não é capaz de elidir a multa prevista no art. 37, § 1º, da Lei nº 9.504/97.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49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 xml:space="preserve">O prazo de cinco dias, previsto no art. 3º da LC nº 64/90, para o Ministério Público impugnar o registro inicia-se com a publicação do edital, caso em que é excepcionada a regra que determina a sua intimação pessoal.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50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O pagamento da multa eleitoral pelo candidato ou a comprovação do cumprimento regular de seu parcelamento após o pedido de registro, mas antes do julgamento respectivo, afasta a ausência de quitação eleitoral.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51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lastRenderedPageBreak/>
        <w:t xml:space="preserve">O processo de registro de candidatura não é o meio adequado para se afastarem os eventuais vícios apurados no processo de prestação de contas de campanha ou partidárias.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52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 xml:space="preserve">Em registro de candidatura, não cabe examinar o acerto ou desacerto da decisão que examinou, em processo específico, a filiação partidária do eleitor.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53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 xml:space="preserve">O filiado a partido político, ainda que não seja candidato, possui legitimidade e interesse para impugnar pedido de registro de coligação partidária da qual é integrante, em razão de eventuais irregularidades havidas em convenção.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54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 xml:space="preserve">A desincompatibilização de servidor público que possui cargo em comissão é de três meses antes do pleito e pressupõe a exoneração do cargo comissionado, e não apenas seu afastamento de fato.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55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 xml:space="preserve">A Carteira Nacional de Habilitação gera a presunção da escolaridade necessária ao deferimento do registro de candidatura.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BD4F4E" w:rsidRP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BD4F4E">
        <w:rPr>
          <w:rFonts w:ascii="Book Antiqua" w:hAnsi="Book Antiqua" w:cs="Times New Roman"/>
        </w:rPr>
        <w:t xml:space="preserve">º 56 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  <w:r w:rsidRPr="00BD4F4E">
        <w:rPr>
          <w:rFonts w:ascii="Book Antiqua" w:hAnsi="Book Antiqua" w:cs="Times New Roman"/>
        </w:rPr>
        <w:t>A multa eleitoral constitui dívida ativa de natureza não tributária, submetendo-se ao prazo prescricional de 10 (dez) anos, nos moldes do art. 205 do Código Civil.</w:t>
      </w:r>
    </w:p>
    <w:p w:rsidR="00BD4F4E" w:rsidRDefault="00BD4F4E" w:rsidP="00BD4F4E">
      <w:pPr>
        <w:jc w:val="both"/>
        <w:rPr>
          <w:rFonts w:ascii="Book Antiqua" w:hAnsi="Book Antiqua" w:cs="Times New Roman"/>
        </w:rPr>
      </w:pPr>
    </w:p>
    <w:p w:rsidR="00533C56" w:rsidRPr="00533C56" w:rsidRDefault="00533C56" w:rsidP="00533C56">
      <w:pPr>
        <w:jc w:val="both"/>
        <w:rPr>
          <w:rFonts w:ascii="Book Antiqua" w:hAnsi="Book Antiqua" w:cs="Times New Roman"/>
        </w:rPr>
      </w:pPr>
      <w:r w:rsidRPr="00A31686">
        <w:rPr>
          <w:rFonts w:ascii="Book Antiqua" w:hAnsi="Book Antiqua" w:cs="Times New Roman"/>
          <w:highlight w:val="green"/>
        </w:rPr>
        <w:t>Súmula Nº 57</w:t>
      </w:r>
      <w:r w:rsidRPr="00533C56">
        <w:rPr>
          <w:rFonts w:ascii="Book Antiqua" w:hAnsi="Book Antiqua" w:cs="Times New Roman"/>
        </w:rPr>
        <w:t xml:space="preserve"> </w:t>
      </w:r>
    </w:p>
    <w:p w:rsidR="00533C56" w:rsidRPr="00A31686" w:rsidRDefault="00533C56" w:rsidP="00533C56">
      <w:pPr>
        <w:jc w:val="both"/>
        <w:rPr>
          <w:rFonts w:ascii="Book Antiqua" w:hAnsi="Book Antiqua" w:cs="Times New Roman"/>
          <w:b/>
          <w:u w:val="single"/>
        </w:rPr>
      </w:pPr>
      <w:r w:rsidRPr="00533C56">
        <w:rPr>
          <w:rFonts w:ascii="Book Antiqua" w:hAnsi="Book Antiqua" w:cs="Times New Roman"/>
        </w:rPr>
        <w:t xml:space="preserve">A apresentação das contas de campanha é suficiente para a obtenção da quitação eleitoral, nos termos da nova redação conferida ao art. 11, § 7º, da Lei nº 9.504/97, pela Lei nº 12.034/2009. </w:t>
      </w:r>
      <w:bookmarkStart w:id="0" w:name="_GoBack"/>
      <w:bookmarkEnd w:id="0"/>
      <w:r w:rsidR="00A31686" w:rsidRPr="00A31686">
        <w:rPr>
          <w:rFonts w:ascii="Book Antiqua" w:hAnsi="Book Antiqua" w:cs="Times New Roman"/>
          <w:b/>
          <w:color w:val="FF0000"/>
          <w:u w:val="single"/>
        </w:rPr>
        <w:t>(TJMG-2014)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</w:p>
    <w:p w:rsidR="00533C56" w:rsidRP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533C56">
        <w:rPr>
          <w:rFonts w:ascii="Book Antiqua" w:hAnsi="Book Antiqua" w:cs="Times New Roman"/>
        </w:rPr>
        <w:t xml:space="preserve">º 58 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 xml:space="preserve">Não compete à Justiça Eleitoral, em processo de registro de candidatura, verificar a prescrição da pretensão punitiva ou executória do candidato e declarar a extinção da pena imposta pela Justiça Comum. 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</w:p>
    <w:p w:rsidR="00533C56" w:rsidRP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533C56">
        <w:rPr>
          <w:rFonts w:ascii="Book Antiqua" w:hAnsi="Book Antiqua" w:cs="Times New Roman"/>
        </w:rPr>
        <w:t xml:space="preserve">º 59 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 xml:space="preserve">O reconhecimento da prescrição da pretensão executória pela Justiça Comum não afasta a inelegibilidade prevista no art. 1º, I, e, da LC nº 64/90, porquanto não extingue os efeitos secundários da condenação. 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</w:p>
    <w:p w:rsidR="00533C56" w:rsidRPr="00DF6F70" w:rsidRDefault="00533C56" w:rsidP="00533C56">
      <w:pPr>
        <w:jc w:val="both"/>
        <w:rPr>
          <w:rFonts w:ascii="Book Antiqua" w:hAnsi="Book Antiqua" w:cs="Times New Roman"/>
          <w:b/>
        </w:rPr>
      </w:pPr>
      <w:r w:rsidRPr="00DF6F70">
        <w:rPr>
          <w:rFonts w:ascii="Book Antiqua" w:hAnsi="Book Antiqua" w:cs="Times New Roman"/>
          <w:b/>
          <w:highlight w:val="green"/>
        </w:rPr>
        <w:t>Súmula Nº 60</w:t>
      </w:r>
      <w:r w:rsidRPr="00DF6F70">
        <w:rPr>
          <w:rFonts w:ascii="Book Antiqua" w:hAnsi="Book Antiqua" w:cs="Times New Roman"/>
          <w:b/>
        </w:rPr>
        <w:t xml:space="preserve"> 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 xml:space="preserve">O </w:t>
      </w:r>
      <w:r w:rsidRPr="00DF6F70">
        <w:rPr>
          <w:rFonts w:ascii="Book Antiqua" w:hAnsi="Book Antiqua" w:cs="Times New Roman"/>
          <w:b/>
          <w:shd w:val="clear" w:color="auto" w:fill="F7CAAC" w:themeFill="accent2" w:themeFillTint="66"/>
        </w:rPr>
        <w:t>prazo da causa de inelegibilidade</w:t>
      </w:r>
      <w:r w:rsidRPr="00533C56">
        <w:rPr>
          <w:rFonts w:ascii="Book Antiqua" w:hAnsi="Book Antiqua" w:cs="Times New Roman"/>
        </w:rPr>
        <w:t xml:space="preserve"> prevista no art. 1º, I, e, da LC nº 64/90 deve ser contado </w:t>
      </w:r>
      <w:r w:rsidRPr="00DF6F70">
        <w:rPr>
          <w:rFonts w:ascii="Book Antiqua" w:hAnsi="Book Antiqua" w:cs="Times New Roman"/>
          <w:b/>
          <w:highlight w:val="yellow"/>
        </w:rPr>
        <w:t>a partir da data em que ocorrida a prescrição da pretensão executória</w:t>
      </w:r>
      <w:r w:rsidRPr="00533C56">
        <w:rPr>
          <w:rFonts w:ascii="Book Antiqua" w:hAnsi="Book Antiqua" w:cs="Times New Roman"/>
        </w:rPr>
        <w:t xml:space="preserve"> e não do momento da sua declaração judicial. 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F6F70" w:rsidRPr="002718F3" w:rsidTr="00514F9E">
        <w:tc>
          <w:tcPr>
            <w:tcW w:w="8494" w:type="dxa"/>
            <w:shd w:val="clear" w:color="auto" w:fill="CCFFFF"/>
          </w:tcPr>
          <w:p w:rsidR="00DF6F70" w:rsidRDefault="00DF6F70" w:rsidP="00DF6F70">
            <w:pPr>
              <w:jc w:val="both"/>
              <w:rPr>
                <w:rFonts w:ascii="Book Antiqua" w:hAnsi="Book Antiqua" w:cs="Times New Roman"/>
                <w:b/>
                <w:bCs/>
              </w:rPr>
            </w:pPr>
            <w:r w:rsidRPr="00DF6F70">
              <w:rPr>
                <w:rFonts w:ascii="Book Antiqua" w:hAnsi="Book Antiqua" w:cs="Times New Roman"/>
                <w:b/>
                <w:bCs/>
              </w:rPr>
              <w:t>(</w:t>
            </w:r>
            <w:r w:rsidRPr="00DF6F70">
              <w:rPr>
                <w:rFonts w:ascii="Book Antiqua" w:hAnsi="Book Antiqua" w:cs="Times New Roman"/>
                <w:b/>
                <w:bCs/>
                <w:highlight w:val="yellow"/>
              </w:rPr>
              <w:t>MPSP-2017</w:t>
            </w:r>
            <w:r w:rsidRPr="00DF6F70">
              <w:rPr>
                <w:rFonts w:ascii="Book Antiqua" w:hAnsi="Book Antiqua" w:cs="Times New Roman"/>
                <w:b/>
                <w:bCs/>
              </w:rPr>
              <w:t>)</w:t>
            </w:r>
            <w:r w:rsidRPr="00DF6F70">
              <w:rPr>
                <w:rFonts w:ascii="Book Antiqua" w:hAnsi="Book Antiqua" w:cs="Times New Roman"/>
                <w:bCs/>
              </w:rPr>
              <w:t xml:space="preserve">: O reconhecimento da prescrição da pretensão executória, pela Justiça Comum, do réu condenado definitivamente por tráfico de entorpecentes, implica, em relação a sua elegibilidade: o fim da sua inelegibilidade após o decurso de oito anos contados da data em que ocorreu a extinção da pretensão executória estatal. </w:t>
            </w:r>
            <w:r w:rsidRPr="00DF6F70">
              <w:rPr>
                <w:rFonts w:ascii="Book Antiqua" w:hAnsi="Book Antiqua" w:cs="Times New Roman"/>
                <w:b/>
                <w:bCs/>
              </w:rPr>
              <w:t>BL: art. 1º, I, “e”, item 7, LC 64 e Súmula 60 do TSE.</w:t>
            </w:r>
          </w:p>
          <w:p w:rsidR="00DF6F70" w:rsidRPr="00DF6F70" w:rsidRDefault="00DF6F70" w:rsidP="00DF6F70">
            <w:pPr>
              <w:jc w:val="both"/>
              <w:rPr>
                <w:rFonts w:ascii="Book Antiqua" w:hAnsi="Book Antiqua" w:cs="Times New Roman"/>
                <w:b/>
                <w:bCs/>
              </w:rPr>
            </w:pPr>
          </w:p>
          <w:p w:rsidR="00DF6F70" w:rsidRPr="00DF6F70" w:rsidRDefault="00DF6F70" w:rsidP="00DF6F70">
            <w:pPr>
              <w:jc w:val="both"/>
              <w:rPr>
                <w:rFonts w:ascii="Book Antiqua" w:hAnsi="Book Antiqua" w:cs="Times New Roman"/>
              </w:rPr>
            </w:pPr>
            <w:r w:rsidRPr="00DF6F70">
              <w:rPr>
                <w:rFonts w:ascii="Book Antiqua" w:hAnsi="Book Antiqua" w:cs="Times New Roman"/>
                <w:b/>
                <w:highlight w:val="magenta"/>
              </w:rPr>
              <w:t>OBS</w:t>
            </w:r>
            <w:r w:rsidRPr="00DF6F70">
              <w:rPr>
                <w:rFonts w:ascii="Book Antiqua" w:hAnsi="Book Antiqua" w:cs="Times New Roman"/>
              </w:rPr>
              <w:t xml:space="preserve">: </w:t>
            </w:r>
            <w:r w:rsidRPr="00DF6F70">
              <w:rPr>
                <w:rFonts w:ascii="Book Antiqua" w:hAnsi="Book Antiqua" w:cs="Times New Roman"/>
                <w:b/>
              </w:rPr>
              <w:t>Súmula 60 do TSE</w:t>
            </w:r>
            <w:r w:rsidRPr="00DF6F70">
              <w:rPr>
                <w:rFonts w:ascii="Book Antiqua" w:hAnsi="Book Antiqua" w:cs="Times New Roman"/>
              </w:rPr>
              <w:t xml:space="preserve">: </w:t>
            </w:r>
            <w:r w:rsidRPr="00DF6F70">
              <w:rPr>
                <w:rFonts w:ascii="Book Antiqua" w:hAnsi="Book Antiqua" w:cs="Times New Roman"/>
                <w:i/>
              </w:rPr>
              <w:t xml:space="preserve">“O prazo da causa de inelegibilidade prevista no art. 1º, I, "e", da Lei Complementar 64/1990 deve ser contado </w:t>
            </w:r>
            <w:r w:rsidRPr="00DF6F70">
              <w:rPr>
                <w:rFonts w:ascii="Book Antiqua" w:hAnsi="Book Antiqua" w:cs="Times New Roman"/>
                <w:b/>
                <w:i/>
              </w:rPr>
              <w:t>a partir da data em que ocorrida a prescrição da pretensão executória e não do momento da sua declaração judicial</w:t>
            </w:r>
            <w:r w:rsidRPr="00DF6F70">
              <w:rPr>
                <w:rFonts w:ascii="Book Antiqua" w:hAnsi="Book Antiqua" w:cs="Times New Roman"/>
                <w:i/>
              </w:rPr>
              <w:t>.”</w:t>
            </w:r>
          </w:p>
        </w:tc>
      </w:tr>
    </w:tbl>
    <w:p w:rsidR="00533C56" w:rsidRDefault="00533C56" w:rsidP="00533C56">
      <w:pPr>
        <w:jc w:val="both"/>
        <w:rPr>
          <w:rFonts w:ascii="Book Antiqua" w:hAnsi="Book Antiqua" w:cs="Times New Roman"/>
        </w:rPr>
      </w:pPr>
    </w:p>
    <w:p w:rsidR="00533C56" w:rsidRP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533C56">
        <w:rPr>
          <w:rFonts w:ascii="Book Antiqua" w:hAnsi="Book Antiqua" w:cs="Times New Roman"/>
        </w:rPr>
        <w:t xml:space="preserve">º 61 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 xml:space="preserve">O prazo concernente à hipótese de inelegibilidade prevista no art. 1º, I, e, da LC nº 64/90 projeta-se por oito anos após o cumprimento da pena, seja ela privativa de liberdade, restritiva de direito ou multa. 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</w:p>
    <w:p w:rsidR="00533C56" w:rsidRP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533C56">
        <w:rPr>
          <w:rFonts w:ascii="Book Antiqua" w:hAnsi="Book Antiqua" w:cs="Times New Roman"/>
        </w:rPr>
        <w:t xml:space="preserve">º 62 </w:t>
      </w:r>
    </w:p>
    <w:p w:rsidR="00BD4F4E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>Os limites do pedido são demarcados pelos fatos imputados na inicial, dos quais a parte se defende, e não pela capitulação legal atribuída pelo autor.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</w:p>
    <w:p w:rsid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 xml:space="preserve">Súmula </w:t>
      </w:r>
      <w:r>
        <w:rPr>
          <w:rFonts w:ascii="Book Antiqua" w:hAnsi="Book Antiqua" w:cs="Times New Roman"/>
        </w:rPr>
        <w:t>N</w:t>
      </w:r>
      <w:r w:rsidRPr="00533C56">
        <w:rPr>
          <w:rFonts w:ascii="Book Antiqua" w:hAnsi="Book Antiqua" w:cs="Times New Roman"/>
        </w:rPr>
        <w:t xml:space="preserve">º 63   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 xml:space="preserve">A execução fiscal de multa eleitoral só pode atingir os sócios se preenchidos os requisitos para a desconsideração da personalidade jurídica previstos no art. 50 do Código Civil, tendo em vista a natureza não tributária da dívida, observados, ainda, o contraditório e a ampla defesa. 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</w:p>
    <w:p w:rsidR="00533C56" w:rsidRP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533C56">
        <w:rPr>
          <w:rFonts w:ascii="Book Antiqua" w:hAnsi="Book Antiqua" w:cs="Times New Roman"/>
        </w:rPr>
        <w:t xml:space="preserve">º 64 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 xml:space="preserve">Contra acórdão que discute, simultaneamente, condições de elegibilidade e de inelegibilidade, é cabível o recurso ordinário. 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</w:p>
    <w:p w:rsidR="00533C56" w:rsidRP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533C56">
        <w:rPr>
          <w:rFonts w:ascii="Book Antiqua" w:hAnsi="Book Antiqua" w:cs="Times New Roman"/>
        </w:rPr>
        <w:t xml:space="preserve">º 65 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 xml:space="preserve">Considera-se tempestivo o recurso interposto antes da publicação da decisão recorrida. 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</w:p>
    <w:p w:rsidR="00533C56" w:rsidRP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533C56">
        <w:rPr>
          <w:rFonts w:ascii="Book Antiqua" w:hAnsi="Book Antiqua" w:cs="Times New Roman"/>
        </w:rPr>
        <w:t xml:space="preserve">º 66 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 xml:space="preserve">A incidência do § 2º do art. 26-C da  LC nº 64/90 não acarreta o imediato indeferimento do registro ou o cancelamento do diploma, sendo necessário o exame da presença de todos os requisitos essenciais à configuração da inelegibilidade, observados os princípios do contraditório e da ampla defesa. 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</w:p>
    <w:p w:rsidR="00533C56" w:rsidRP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533C56">
        <w:rPr>
          <w:rFonts w:ascii="Book Antiqua" w:hAnsi="Book Antiqua" w:cs="Times New Roman"/>
        </w:rPr>
        <w:t xml:space="preserve">º 67 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 xml:space="preserve">A perda do mandato em razão da desfiliação partidária não se aplica aos candidatos eleitos pelo sistema majoritário. 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</w:p>
    <w:p w:rsidR="00533C56" w:rsidRP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533C56">
        <w:rPr>
          <w:rFonts w:ascii="Book Antiqua" w:hAnsi="Book Antiqua" w:cs="Times New Roman"/>
        </w:rPr>
        <w:t xml:space="preserve">º 68 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>A União é parte legítima para requerer a execução de astreintes, fixada por descumprimento de ordem judicial no âmbito da Justiça Eleitoral</w:t>
      </w:r>
      <w:r>
        <w:rPr>
          <w:rFonts w:ascii="Book Antiqua" w:hAnsi="Book Antiqua" w:cs="Times New Roman"/>
        </w:rPr>
        <w:t>.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</w:p>
    <w:p w:rsidR="00533C56" w:rsidRP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533C56">
        <w:rPr>
          <w:rFonts w:ascii="Book Antiqua" w:hAnsi="Book Antiqua" w:cs="Times New Roman"/>
        </w:rPr>
        <w:t xml:space="preserve">º 69 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 xml:space="preserve">Os prazos de inelegibilidade previstos nas alíneas j e h do inciso I do art. 1º da LC nº 64/90 têm termo inicial no dia do primeiro turno da eleição e termo final no dia de igual número no oitavo ano seguinte. 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</w:p>
    <w:p w:rsidR="00533C56" w:rsidRP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533C56">
        <w:rPr>
          <w:rFonts w:ascii="Book Antiqua" w:hAnsi="Book Antiqua" w:cs="Times New Roman"/>
        </w:rPr>
        <w:t xml:space="preserve">º 70 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>O encerramento do prazo de inelegibilidade antes do dia da eleição constitui fato superveniente que afasta a inelegibilidade, nos termos do art. 11, § 10, da Lei nº 9.504/97.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</w:p>
    <w:p w:rsidR="00533C56" w:rsidRP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533C56">
        <w:rPr>
          <w:rFonts w:ascii="Book Antiqua" w:hAnsi="Book Antiqua" w:cs="Times New Roman"/>
        </w:rPr>
        <w:t xml:space="preserve">º 71 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 xml:space="preserve">Na hipótese de negativa de seguimento ao recurso especial e da consequente interposição de agravo, a parte deverá apresentar contrarrazões tanto ao agravo quanto ao recurso especial, dentro do mesmo tríduo legal. 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</w:p>
    <w:p w:rsidR="00533C56" w:rsidRP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>Súmula</w:t>
      </w:r>
      <w:r>
        <w:rPr>
          <w:rFonts w:ascii="Book Antiqua" w:hAnsi="Book Antiqua" w:cs="Times New Roman"/>
        </w:rPr>
        <w:t xml:space="preserve"> N</w:t>
      </w:r>
      <w:r w:rsidRPr="00533C56">
        <w:rPr>
          <w:rFonts w:ascii="Book Antiqua" w:hAnsi="Book Antiqua" w:cs="Times New Roman"/>
        </w:rPr>
        <w:t xml:space="preserve">º 72 </w:t>
      </w:r>
    </w:p>
    <w:p w:rsidR="00533C56" w:rsidRDefault="00533C56" w:rsidP="00533C56">
      <w:pPr>
        <w:jc w:val="both"/>
        <w:rPr>
          <w:rFonts w:ascii="Book Antiqua" w:hAnsi="Book Antiqua" w:cs="Times New Roman"/>
        </w:rPr>
      </w:pPr>
      <w:r w:rsidRPr="00533C56">
        <w:rPr>
          <w:rFonts w:ascii="Book Antiqua" w:hAnsi="Book Antiqua" w:cs="Times New Roman"/>
        </w:rPr>
        <w:t>É inadmissível o recurso especial eleitoral quando a questão suscitada não foi debatida na decisão recorrida e não foi objeto de embargos de declaração.</w:t>
      </w:r>
    </w:p>
    <w:sectPr w:rsidR="00533C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11B1" w:rsidRDefault="00C211B1" w:rsidP="00DF6F70">
      <w:pPr>
        <w:spacing w:after="0" w:line="240" w:lineRule="auto"/>
      </w:pPr>
      <w:r>
        <w:separator/>
      </w:r>
    </w:p>
  </w:endnote>
  <w:endnote w:type="continuationSeparator" w:id="0">
    <w:p w:rsidR="00C211B1" w:rsidRDefault="00C211B1" w:rsidP="00DF6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11B1" w:rsidRDefault="00C211B1" w:rsidP="00DF6F70">
      <w:pPr>
        <w:spacing w:after="0" w:line="240" w:lineRule="auto"/>
      </w:pPr>
      <w:r>
        <w:separator/>
      </w:r>
    </w:p>
  </w:footnote>
  <w:footnote w:type="continuationSeparator" w:id="0">
    <w:p w:rsidR="00C211B1" w:rsidRDefault="00C211B1" w:rsidP="00DF6F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87"/>
    <w:rsid w:val="00016498"/>
    <w:rsid w:val="002718F3"/>
    <w:rsid w:val="003E3998"/>
    <w:rsid w:val="00523797"/>
    <w:rsid w:val="00533C56"/>
    <w:rsid w:val="005B1C16"/>
    <w:rsid w:val="005F7015"/>
    <w:rsid w:val="00671240"/>
    <w:rsid w:val="00930387"/>
    <w:rsid w:val="009A4504"/>
    <w:rsid w:val="00A2553F"/>
    <w:rsid w:val="00A31686"/>
    <w:rsid w:val="00A43EA5"/>
    <w:rsid w:val="00BB43E5"/>
    <w:rsid w:val="00BD4F4E"/>
    <w:rsid w:val="00C211B1"/>
    <w:rsid w:val="00D50BAF"/>
    <w:rsid w:val="00DF6F70"/>
    <w:rsid w:val="00E70204"/>
    <w:rsid w:val="00E80C62"/>
    <w:rsid w:val="00F0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861543"/>
  <w15:chartTrackingRefBased/>
  <w15:docId w15:val="{C946ADFE-55C9-4AE9-9F32-234766716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71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F6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F6F70"/>
  </w:style>
  <w:style w:type="paragraph" w:styleId="Rodap">
    <w:name w:val="footer"/>
    <w:basedOn w:val="Normal"/>
    <w:link w:val="RodapChar"/>
    <w:uiPriority w:val="99"/>
    <w:unhideWhenUsed/>
    <w:rsid w:val="00DF6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F6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2449</Words>
  <Characters>13230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 Silva Teixeira</cp:lastModifiedBy>
  <cp:revision>15</cp:revision>
  <dcterms:created xsi:type="dcterms:W3CDTF">2016-04-14T13:01:00Z</dcterms:created>
  <dcterms:modified xsi:type="dcterms:W3CDTF">2018-08-31T19:23:00Z</dcterms:modified>
</cp:coreProperties>
</file>