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3945"/>
        <w:gridCol w:w="2250"/>
        <w:tblGridChange w:id="0">
          <w:tblGrid>
            <w:gridCol w:w="2820"/>
            <w:gridCol w:w="3945"/>
            <w:gridCol w:w="22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 et Prénom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Poste BN 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Organisation locale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Ratsirahonana Ando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Conseiller Juridique National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Iarivo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RANDRIANARIVO Tiffany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Directeur de l’Institut National de Développement de Compétences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Iarivo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Anjarasoa RAKOTONARIVO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Vice-Président National assigne au zone centre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Toliara</w:t>
            </w:r>
          </w:p>
        </w:tc>
      </w:tr>
      <w:tr>
        <w:trPr>
          <w:cantSplit w:val="0"/>
          <w:trHeight w:val="633.955078124999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MAYET Jouber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Trésorier National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Mahajanga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Rakotobe Manjatosoa Minah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Présidente Nationale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Iarivo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Manitriavy Melissa Martina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Directrice du Programme National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Antsiranana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HAMBA Tianjara Hugues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Immediat Past President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Nosy Be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RAKOTONIRINA Miharisoa Barinia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Secrétaire général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Iarivo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RASOANINDRINA Emilie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 Présidente Nationale Zone Sud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Iarivo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Rabearilaza Mamy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 Partenariat et Fundraising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Antananarivo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Tamby ANDRIANARIVONY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Directeur National de l’Innovation Numérique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Ivonea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Rabefarihy Ando Nirina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Directeur National du Membership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Toamasina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RALALA Mialitiana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Vice-présidente Exécutive Nationale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Ilon'Iarivo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ANDRIAMAMPIONONA Franco Joël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 Président National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JCI Nosy Be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