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3B1D3">
      <w:pPr>
        <w:spacing w:line="360" w:lineRule="auto"/>
        <w:jc w:val="center"/>
        <w:rPr>
          <w:sz w:val="24"/>
          <w:szCs w:val="24"/>
        </w:rPr>
      </w:pPr>
      <w:r>
        <w:rPr>
          <w:rFonts w:hint="eastAsia"/>
          <w:b/>
          <w:bCs/>
          <w:sz w:val="24"/>
          <w:szCs w:val="24"/>
        </w:rPr>
        <w:t>面向复杂任务智能体的授权协议设计与应用实现</w:t>
      </w:r>
    </w:p>
    <w:p w14:paraId="4126E8A4">
      <w:pPr>
        <w:numPr>
          <w:ilvl w:val="0"/>
          <w:numId w:val="1"/>
        </w:numPr>
        <w:spacing w:line="360" w:lineRule="auto"/>
        <w:rPr>
          <w:b/>
          <w:bCs/>
          <w:sz w:val="24"/>
          <w:szCs w:val="24"/>
        </w:rPr>
      </w:pPr>
      <w:r>
        <w:rPr>
          <w:b/>
          <w:bCs/>
          <w:sz w:val="24"/>
          <w:szCs w:val="24"/>
        </w:rPr>
        <w:t>研究背景与意义</w:t>
      </w:r>
    </w:p>
    <w:p w14:paraId="3236F6DC">
      <w:pPr>
        <w:spacing w:line="360" w:lineRule="auto"/>
        <w:rPr>
          <w:b/>
          <w:bCs/>
          <w:sz w:val="24"/>
        </w:rPr>
      </w:pPr>
    </w:p>
    <w:p w14:paraId="221D5D75">
      <w:pPr>
        <w:spacing w:line="360" w:lineRule="auto"/>
        <w:rPr>
          <w:b/>
          <w:bCs/>
          <w:sz w:val="24"/>
        </w:rPr>
      </w:pPr>
      <w:r>
        <w:rPr>
          <w:b/>
          <w:bCs/>
          <w:sz w:val="24"/>
        </w:rPr>
        <w:t>1.1 授权协议发展脉络</w:t>
      </w:r>
      <w:bookmarkStart w:id="0" w:name="_GoBack"/>
      <w:bookmarkEnd w:id="0"/>
    </w:p>
    <w:p w14:paraId="1FD14545">
      <w:pPr>
        <w:spacing w:line="360" w:lineRule="auto"/>
        <w:ind w:firstLine="420"/>
        <w:rPr>
          <w:sz w:val="24"/>
        </w:rPr>
      </w:pPr>
      <w:r>
        <w:rPr>
          <w:sz w:val="24"/>
        </w:rPr>
        <w:t>授权协议是计算机安全体系中用于解决"谁在什么条件下可以访问什么资源"这一核心问题的关键机制，其发展历程反映了计算机系统从封闭到开放、从单体到分布式的演进趋势。</w:t>
      </w:r>
    </w:p>
    <w:p w14:paraId="6CE25A98">
      <w:pPr>
        <w:spacing w:line="360" w:lineRule="auto"/>
        <w:ind w:firstLine="420"/>
        <w:rPr>
          <w:sz w:val="24"/>
        </w:rPr>
      </w:pPr>
      <w:r>
        <w:rPr>
          <w:sz w:val="24"/>
        </w:rPr>
        <w:t>计算机系统的访问控制最初源于操作系统的文件权限管理。1965年，Multics操作系统首次在其文件系统中实现了访问控制列表，为每个文件对象维护一张主体权限映射表，标志着操作系统层面访问控制机制的诞生[1]。与ACL的实践导向不同，1966年Dennis与Van Horn在Multics系统设计中引入了基于能力的访问控制机制，主张主体持有不可伪造的权限令牌来访问客体，形成了与ACL"以客体为中心"相对立的"以主体为中心"范式[2]。1971年，Lampson在普林斯顿大学首次提出了访问控制矩阵的形式化模型[3]。该模型以主体（用户、进程）为行、客体（文件、资源）为列，通过矩阵单元格定义访问权限，奠定了现代访问控制理论的形式化基础。</w:t>
      </w:r>
    </w:p>
    <w:p w14:paraId="19A2D3EA">
      <w:pPr>
        <w:spacing w:line="360" w:lineRule="auto"/>
        <w:ind w:firstLine="420"/>
        <w:rPr>
          <w:sz w:val="24"/>
        </w:rPr>
      </w:pPr>
      <w:r>
        <w:rPr>
          <w:sz w:val="24"/>
        </w:rPr>
        <w:t>早期操作系统访问控制以自主访问控制为主，允许资源所有者自主决定其他主体的访问权限，ACL即DAC的典型实现。然而，DAC无法防止权限的非法传递与信息泄露。1973年，Bell和LaPadula为美国国防部开发了Bell-LaPadula（BLP）机密性模型，提出了"不上读、不下写"的安全原则，成为多级安全系统最早的形式化模型[4]。BLP属于强制访问控制，由系统中央权威强制实施安全策略，资源所有者无权修改访问规则。1977年，Biba模型提出完整性保护机制，与BLP模型形成机密性与完整性互补的MAC双支柱[5]。</w:t>
      </w:r>
    </w:p>
    <w:p w14:paraId="533ABB8D">
      <w:pPr>
        <w:spacing w:line="360" w:lineRule="auto"/>
        <w:ind w:firstLine="420"/>
        <w:rPr>
          <w:sz w:val="24"/>
        </w:rPr>
      </w:pPr>
      <w:r>
        <w:rPr>
          <w:sz w:val="24"/>
        </w:rPr>
        <w:t>随着局域网与分布式计算环境的发展，访问控制从单机走向网络。1988年，MIT的Project Athena团队发布了Kerberos认证协议，Steiner、Neuman与Schiller在USENIX会议上首次系统阐述了该协议的设计思想[6]。1993年，Kohl与Neuman将Kerberos V5标准化为RFC 1510[7]，该规范后由RFC 4120于2005年更新[8]，成为企业内网分布式身份认证的事实标准。Kerberos首次将授权与认证紧密结合，为跨主机资源访问提供了可扩展的信任基础设施。</w:t>
      </w:r>
    </w:p>
    <w:p w14:paraId="4FE5FAE6">
      <w:pPr>
        <w:spacing w:line="360" w:lineRule="auto"/>
        <w:ind w:firstLine="420"/>
        <w:rPr>
          <w:sz w:val="24"/>
        </w:rPr>
      </w:pPr>
      <w:r>
        <w:rPr>
          <w:sz w:val="24"/>
        </w:rPr>
        <w:t>1996年，Sandhu等人正式提出基于角色的访问控制（RBAC）模型，通过引入"角色"作为用户与权限之间的中间抽象层，大幅简化了大规模系统的权限管理复杂度[9]。2001年，Ferraiolo等人在ACM TISSEC上发表了NIST RBAC标准提案，RBAC被确立为美国国家标准[10]。</w:t>
      </w:r>
    </w:p>
    <w:p w14:paraId="0D89F322">
      <w:pPr>
        <w:spacing w:line="360" w:lineRule="auto"/>
        <w:ind w:firstLine="420"/>
        <w:rPr>
          <w:sz w:val="24"/>
        </w:rPr>
      </w:pPr>
      <w:r>
        <w:rPr>
          <w:sz w:val="24"/>
        </w:rPr>
        <w:t>进入21世纪，互联网商业化的加速推动了跨组织、跨安全域的身份联合需求。2002年，OASIS发布安全断言标记语言SAML 1.0，定义了基于XML的跨域认证与授权断言交换框架；2005年，SAML 2.0正式发布[11][12]，融合了Shibboleth与ID-FF[13]的技术成果，成为企业级跨域单点登录与联邦身份管理的基础标准。随着Web服务的兴起，授权协议开始独立于身份认证发展。2005年，OASIS发布了可扩展访问控制标记语言，以标准化的策略声明方式实现细粒度的授权决策[14]。2014年，美国国家标准与技术研究院发布了属性基访问控制（ABAC）定义与实施指南，推动了从角色驱动向属性驱动的访问控制范式转变[15]。</w:t>
      </w:r>
    </w:p>
    <w:p w14:paraId="276EC8CE">
      <w:pPr>
        <w:spacing w:line="360" w:lineRule="auto"/>
        <w:ind w:firstLine="420"/>
        <w:rPr>
          <w:sz w:val="24"/>
        </w:rPr>
      </w:pPr>
      <w:r>
        <w:rPr>
          <w:sz w:val="24"/>
        </w:rPr>
        <w:t>2012年，IETF发布RFC 6749（OAuth 2.0授权框架），标志着现代授权协议的重大突破[16]。Hardt在RFC 6749中定义了授权服务器、资源服务器、客户端和资源所有者四种角色，实现了第三方应用在无需获取用户凭证的前提下获得对用户资源的有限访问权限。这一"委托授权"范式彻底改变了开放互联网的信任模型。2015年，Jones等人发布RFC 7519，为轻量级的凭证传输提供了标准格式[17]。此后，OpenID Connect（OIDC）在OAuth 2.0之上构建了身份层[18]，共同构成了现代Web授权协议的事实标准体系。此后，OAuth 2.0生态持续演进：PKCE（RFC 7636）缓解了公共客户端的授权码拦截风险[19]；DPoP通过绑定访问令牌与客户端密钥，进一步降低了令牌泄露后的滥用风险[20]；OAuth 2.1草案整合了上述安全最佳实践[21]，推动委托授权范式向更高安全水位发展。</w:t>
      </w:r>
    </w:p>
    <w:p w14:paraId="423C9BD2">
      <w:pPr>
        <w:spacing w:line="360" w:lineRule="auto"/>
        <w:ind w:firstLine="420"/>
        <w:rPr>
          <w:sz w:val="24"/>
        </w:rPr>
      </w:pPr>
      <w:r>
        <w:rPr>
          <w:sz w:val="24"/>
        </w:rPr>
        <w:t>2020年，NIST发布SP 800-207《零信任架构》，确立了"永不信任，始终验证"的安全原则，要求对每一次访问请求进行动态授权评估[22]。零信任架构并非独立的访问控制模型，而是对MAC、RBAC、ABAC等既有模型在开放网络环境下的重构：它否定基于网络位置的隐式信任，要求将授权决策点尽可能靠近资源，并通过持续风险评估实现动态、细粒度的访问控制。</w:t>
      </w:r>
    </w:p>
    <w:p w14:paraId="21EB9CFB">
      <w:pPr>
        <w:spacing w:line="360" w:lineRule="auto"/>
        <w:rPr>
          <w:sz w:val="24"/>
        </w:rPr>
      </w:pPr>
    </w:p>
    <w:p w14:paraId="6018C3E8">
      <w:pPr>
        <w:spacing w:line="360" w:lineRule="auto"/>
        <w:rPr>
          <w:sz w:val="24"/>
        </w:rPr>
      </w:pPr>
    </w:p>
    <w:p w14:paraId="5ACB23BB">
      <w:pPr>
        <w:spacing w:line="360" w:lineRule="auto"/>
        <w:rPr>
          <w:sz w:val="24"/>
        </w:rPr>
      </w:pPr>
    </w:p>
    <w:p w14:paraId="103BC6C5">
      <w:pPr>
        <w:spacing w:line="360" w:lineRule="auto"/>
        <w:rPr>
          <w:b/>
          <w:bCs/>
          <w:sz w:val="24"/>
        </w:rPr>
      </w:pPr>
      <w:r>
        <w:rPr>
          <w:b/>
          <w:bCs/>
          <w:sz w:val="24"/>
        </w:rPr>
        <w:t>1.2 智能体的广泛应用</w:t>
      </w:r>
    </w:p>
    <w:p w14:paraId="2BDEE9AB">
      <w:pPr>
        <w:spacing w:line="360" w:lineRule="auto"/>
        <w:ind w:firstLine="420"/>
        <w:rPr>
          <w:sz w:val="24"/>
        </w:rPr>
      </w:pPr>
      <w:r>
        <w:rPr>
          <w:sz w:val="24"/>
        </w:rPr>
        <w:t>当前，以大型语言模型为认知核心的人工智能系统正经历从"被动响应者"向"自主执行者"的范式跃迁。所谓智能体，是指在 LLM 基础上通过模块化扩展，集成规划、感知、记忆与工具调用四大关键能力，能够在开放环境中持续进行目标分解、决策推理与动作执行的自主系统[23]。与仅具备文本生成能力的传统 LLM 不同，智能体通过"推理-行动"闭环（如 ReAct 框架）与外部工具（API、数据库、计算资源）进行动态交互，从而将语言理解转化为物理或数字世界中的实际影响[24]。2023 年，Park 等提出的 Generative Agents 通过为智能体注入记忆、反思与社会行为模拟机制，在虚拟环境中实现了可信的人类行为复现，标志着智能体从"概率性语言模型"向"状态化自主实体"的质变[25]。随着 AutoGen、MetaGPT、CrewAI 等多智能体编排框架的成熟，智能体进一步具备了跨角色协作、任务委派与分布式认知的能力，形成了所谓的 Agentic AI 范式[26][27]。</w:t>
      </w:r>
    </w:p>
    <w:p w14:paraId="339C9409">
      <w:pPr>
        <w:spacing w:line="360" w:lineRule="auto"/>
        <w:ind w:firstLine="420"/>
        <w:rPr>
          <w:sz w:val="24"/>
        </w:rPr>
      </w:pPr>
      <w:r>
        <w:rPr>
          <w:sz w:val="24"/>
        </w:rPr>
        <w:t>智能体技术已在多个关键领域展现出变革性潜力，其应用深度正从辅助性工具向核心业务流程渗透。在科学研究领域，ToolUniverse 等框架将 600 余个科学计算模型与数据库封装为统一工具集，支持智能体自动完成假设生成、实验设计与数据分析；在医疗决策领域，MedAgentBench 与 AIPatient 等系统利用多智能体架构与检索增强生成（RAG）技术，实现电子病历检索、临床决策支持与复杂医疗场景模拟[28]。在金融分析领域，TradingAgents 框架构建了包含基本面分析、情绪分析、风控等多角色的智能体协作系统，通过结构化通信协议模拟真实交易决策流程[28]。在软件工程领域，GPT-Engineer 等系统将 LLM 驱动的设计与本地代码执行环境相结合，实现软件的迭代式自动开发[28]。此外，在企业服务场景中，智能体已深度集成于客户关系管理、办公协同与知识管理流程，成为组织数字化转型的关键基础设施[29]。这种广泛渗透意味着智能体不再是孤立的学术原型，而是正在嵌入社会生产系统的核心环节。</w:t>
      </w:r>
    </w:p>
    <w:p w14:paraId="0A4C50B8">
      <w:pPr>
        <w:spacing w:line="360" w:lineRule="auto"/>
        <w:rPr>
          <w:sz w:val="24"/>
        </w:rPr>
      </w:pPr>
    </w:p>
    <w:p w14:paraId="2F588FE2">
      <w:pPr>
        <w:spacing w:line="360" w:lineRule="auto"/>
        <w:rPr>
          <w:sz w:val="24"/>
        </w:rPr>
      </w:pPr>
    </w:p>
    <w:p w14:paraId="096F42EE">
      <w:pPr>
        <w:spacing w:line="360" w:lineRule="auto"/>
        <w:rPr>
          <w:sz w:val="24"/>
        </w:rPr>
      </w:pPr>
    </w:p>
    <w:p w14:paraId="1D821565">
      <w:pPr>
        <w:spacing w:line="360" w:lineRule="auto"/>
        <w:rPr>
          <w:sz w:val="24"/>
        </w:rPr>
      </w:pPr>
    </w:p>
    <w:p w14:paraId="0E61C7B3">
      <w:pPr>
        <w:spacing w:line="360" w:lineRule="auto"/>
        <w:rPr>
          <w:sz w:val="24"/>
        </w:rPr>
      </w:pPr>
    </w:p>
    <w:p w14:paraId="19F8B2FB">
      <w:pPr>
        <w:spacing w:line="360" w:lineRule="auto"/>
        <w:rPr>
          <w:b/>
          <w:bCs/>
          <w:sz w:val="24"/>
        </w:rPr>
      </w:pPr>
      <w:r>
        <w:rPr>
          <w:b/>
          <w:bCs/>
          <w:sz w:val="24"/>
        </w:rPr>
        <w:t>1.3 智能体安全问题</w:t>
      </w:r>
    </w:p>
    <w:p w14:paraId="7A8A3A09">
      <w:pPr>
        <w:spacing w:line="360" w:lineRule="auto"/>
        <w:ind w:firstLine="420"/>
        <w:rPr>
          <w:sz w:val="24"/>
        </w:rPr>
      </w:pPr>
      <w:r>
        <w:rPr>
          <w:sz w:val="24"/>
        </w:rPr>
        <w:t>伴随着智能体的广泛应用，其部署过程中已暴露出多起严峻的安全问题。首先，工具调用机制遭到系统性劫持：攻击者可通过篡改工具描述或返回数据，直接操纵智能体的外部 API 调用行为，实施拒绝服务或远程代码执行；更为隐蔽的是，仅需向智能体长期记忆中注入少量伪装的技术记录，即可在后续多轮任务中持续劫持其工具选择决策，且现有安全防御几乎无法识别此类记忆投毒攻击[30][31]。其次，记忆库成为持久化攻击载体：攻击者可在检索增强生成（RAG）记忆库中植入视觉语义触发器，使其作为"休眠代理"潜伏于系统内部，在未来规划阶段隐式劫持智能体的推理链；而记忆被污染后产生的有害输出与模型固有失败难以区分，导致防御系统难以归因，有效防御窗口被压缩至不足 5 个会话周期[32][33]。再次，执行环境隔离失效：高能力智能体在自主研究任务中曾通过多步骤利用链识别沙箱内漏洞、实现权限提升，最终突破沙箱边界获得未授权网络访问并对外传输数据，暴露出沙箱机制在自主 Agent 面前的脆弱性[34]。此外，推理过程遭受深层操纵：攻击者可通过约束收紧与推理劫持技术，在不改变外部任务表象的前提下直接操纵智能体的多步规划与决策排序，使其在任务分解与资源分配阶段产生系统性偏差，形成不可还原的决策复杂性[35]。最后，权限配置失当引发持续暴露：智能体在部署时往往被赋予宽泛的 IAM 角色且后续缺乏审查，导致其权限与实际使用需求之间的偏差随时间不断扩大，形成"永久性的待机暴露面"，直接违背最小权限原则[36]。</w:t>
      </w:r>
    </w:p>
    <w:p w14:paraId="04BF799A">
      <w:pPr>
        <w:spacing w:line="360" w:lineRule="auto"/>
        <w:ind w:firstLine="420"/>
        <w:rPr>
          <w:sz w:val="24"/>
        </w:rPr>
      </w:pPr>
      <w:r>
        <w:rPr>
          <w:rFonts w:hint="eastAsia"/>
          <w:sz w:val="24"/>
        </w:rPr>
        <w:t>除此之外，</w:t>
      </w:r>
      <w:r>
        <w:rPr>
          <w:sz w:val="24"/>
        </w:rPr>
        <w:t>智能体的自主性</w:t>
      </w:r>
      <w:r>
        <w:rPr>
          <w:rFonts w:hint="eastAsia"/>
          <w:sz w:val="24"/>
        </w:rPr>
        <w:t>还</w:t>
      </w:r>
      <w:r>
        <w:rPr>
          <w:sz w:val="24"/>
        </w:rPr>
        <w:t>引入了传统安全模型难以覆盖的持续性、级联化风险。其中，权限与访问控制的缺失是贯穿上述问题的核心瓶颈：工具调用缺乏精确权限界定，记忆写操作缺乏身份治理，沙箱逃逸暴露了粗粒度授权的危害，而推理链操纵则揭示了传统"身份-权限"二元模型在自主决策场景下的失效。因此，构建面向智能体的精细化授权安全机制，已成为保障其可信部署的紧迫学术命题。</w:t>
      </w:r>
      <w:r>
        <w:rPr>
          <w:rFonts w:hint="eastAsia"/>
          <w:sz w:val="24"/>
        </w:rPr>
        <w:t>在已登记的CVE漏洞中，有19个与智能体相关漏洞，而其中有11个与授权相关，如表。由此可见，授权问题是智能体目前安全问题的重中之重。</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4"/>
        <w:gridCol w:w="2841"/>
      </w:tblGrid>
      <w:tr w14:paraId="029A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03A941D">
            <w:pPr>
              <w:spacing w:line="360" w:lineRule="auto"/>
              <w:jc w:val="center"/>
              <w:rPr>
                <w:sz w:val="24"/>
              </w:rPr>
            </w:pPr>
            <w:r>
              <w:rPr>
                <w:rFonts w:hint="eastAsia"/>
                <w:sz w:val="24"/>
              </w:rPr>
              <w:t>漏洞类型</w:t>
            </w:r>
          </w:p>
        </w:tc>
        <w:tc>
          <w:tcPr>
            <w:tcW w:w="2841" w:type="dxa"/>
          </w:tcPr>
          <w:p w14:paraId="52678A66">
            <w:pPr>
              <w:spacing w:line="360" w:lineRule="auto"/>
              <w:jc w:val="center"/>
              <w:rPr>
                <w:sz w:val="24"/>
              </w:rPr>
            </w:pPr>
            <w:r>
              <w:rPr>
                <w:rFonts w:hint="eastAsia"/>
                <w:sz w:val="24"/>
              </w:rPr>
              <w:t>CVE编号</w:t>
            </w:r>
          </w:p>
        </w:tc>
      </w:tr>
      <w:tr w14:paraId="665D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877A50A">
            <w:pPr>
              <w:spacing w:line="360" w:lineRule="auto"/>
              <w:jc w:val="center"/>
              <w:rPr>
                <w:sz w:val="24"/>
              </w:rPr>
            </w:pPr>
            <w:r>
              <w:rPr>
                <w:rFonts w:hint="eastAsia"/>
                <w:sz w:val="24"/>
              </w:rPr>
              <w:t>认证绕过 / 自动设备批准</w:t>
            </w:r>
          </w:p>
        </w:tc>
        <w:tc>
          <w:tcPr>
            <w:tcW w:w="2841" w:type="dxa"/>
          </w:tcPr>
          <w:p w14:paraId="53294875">
            <w:pPr>
              <w:spacing w:line="360" w:lineRule="auto"/>
              <w:jc w:val="center"/>
              <w:rPr>
                <w:sz w:val="24"/>
              </w:rPr>
            </w:pPr>
            <w:r>
              <w:rPr>
                <w:sz w:val="24"/>
              </w:rPr>
              <w:t>CVE-2026-25253</w:t>
            </w:r>
          </w:p>
        </w:tc>
      </w:tr>
      <w:tr w14:paraId="526E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E3D9264">
            <w:pPr>
              <w:spacing w:line="360" w:lineRule="auto"/>
              <w:jc w:val="center"/>
              <w:rPr>
                <w:sz w:val="24"/>
              </w:rPr>
            </w:pPr>
            <w:r>
              <w:rPr>
                <w:rFonts w:hint="eastAsia"/>
                <w:sz w:val="24"/>
              </w:rPr>
              <w:t>配置注入 / 权限提升</w:t>
            </w:r>
          </w:p>
        </w:tc>
        <w:tc>
          <w:tcPr>
            <w:tcW w:w="2841" w:type="dxa"/>
          </w:tcPr>
          <w:p w14:paraId="5F1E77B8">
            <w:pPr>
              <w:spacing w:line="360" w:lineRule="auto"/>
              <w:jc w:val="center"/>
              <w:rPr>
                <w:sz w:val="24"/>
              </w:rPr>
            </w:pPr>
            <w:r>
              <w:rPr>
                <w:sz w:val="24"/>
              </w:rPr>
              <w:t>CVE-2025-61260</w:t>
            </w:r>
          </w:p>
        </w:tc>
      </w:tr>
      <w:tr w14:paraId="1EEB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3C0A4CF">
            <w:pPr>
              <w:spacing w:line="360" w:lineRule="auto"/>
              <w:jc w:val="center"/>
              <w:rPr>
                <w:sz w:val="24"/>
              </w:rPr>
            </w:pPr>
            <w:r>
              <w:rPr>
                <w:rFonts w:hint="eastAsia"/>
                <w:sz w:val="24"/>
              </w:rPr>
              <w:t>授权绕过 / 自动启用MCP</w:t>
            </w:r>
          </w:p>
        </w:tc>
        <w:tc>
          <w:tcPr>
            <w:tcW w:w="2841" w:type="dxa"/>
          </w:tcPr>
          <w:p w14:paraId="5B29937A">
            <w:pPr>
              <w:spacing w:line="360" w:lineRule="auto"/>
              <w:jc w:val="center"/>
              <w:rPr>
                <w:sz w:val="24"/>
              </w:rPr>
            </w:pPr>
            <w:r>
              <w:rPr>
                <w:sz w:val="24"/>
              </w:rPr>
              <w:t>CVE-2025-59536</w:t>
            </w:r>
          </w:p>
        </w:tc>
      </w:tr>
      <w:tr w14:paraId="6A91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07035CAB">
            <w:pPr>
              <w:spacing w:line="360" w:lineRule="auto"/>
              <w:jc w:val="center"/>
              <w:rPr>
                <w:sz w:val="24"/>
              </w:rPr>
            </w:pPr>
            <w:r>
              <w:rPr>
                <w:sz w:val="24"/>
              </w:rPr>
              <w:t>凭证窃取 / 授权头泄露</w:t>
            </w:r>
          </w:p>
        </w:tc>
        <w:tc>
          <w:tcPr>
            <w:tcW w:w="2841" w:type="dxa"/>
          </w:tcPr>
          <w:p w14:paraId="3CD11926">
            <w:pPr>
              <w:spacing w:line="360" w:lineRule="auto"/>
              <w:jc w:val="center"/>
              <w:rPr>
                <w:sz w:val="24"/>
              </w:rPr>
            </w:pPr>
            <w:r>
              <w:rPr>
                <w:sz w:val="24"/>
              </w:rPr>
              <w:t>CVE-2026-21852</w:t>
            </w:r>
          </w:p>
        </w:tc>
      </w:tr>
      <w:tr w14:paraId="133B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45F28">
            <w:pPr>
              <w:spacing w:line="360" w:lineRule="auto"/>
              <w:jc w:val="center"/>
              <w:rPr>
                <w:sz w:val="24"/>
              </w:rPr>
            </w:pPr>
            <w:r>
              <w:rPr>
                <w:rFonts w:hint="eastAsia"/>
                <w:sz w:val="24"/>
              </w:rPr>
              <w:t>LLM范围越界 / 授权边界突破</w:t>
            </w:r>
          </w:p>
        </w:tc>
        <w:tc>
          <w:tcPr>
            <w:tcW w:w="2841" w:type="dxa"/>
          </w:tcPr>
          <w:p w14:paraId="64CC8838">
            <w:pPr>
              <w:spacing w:line="360" w:lineRule="auto"/>
              <w:jc w:val="center"/>
              <w:rPr>
                <w:sz w:val="24"/>
              </w:rPr>
            </w:pPr>
            <w:r>
              <w:rPr>
                <w:sz w:val="24"/>
              </w:rPr>
              <w:t>CVE-2025-32711</w:t>
            </w:r>
          </w:p>
        </w:tc>
      </w:tr>
      <w:tr w14:paraId="7285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30DBFE">
            <w:pPr>
              <w:spacing w:line="360" w:lineRule="auto"/>
              <w:jc w:val="center"/>
              <w:rPr>
                <w:sz w:val="24"/>
              </w:rPr>
            </w:pPr>
            <w:r>
              <w:rPr>
                <w:sz w:val="24"/>
              </w:rPr>
              <w:t>授权边界 / 范围控制失效</w:t>
            </w:r>
          </w:p>
        </w:tc>
        <w:tc>
          <w:tcPr>
            <w:tcW w:w="2841" w:type="dxa"/>
          </w:tcPr>
          <w:p w14:paraId="42BD9FC7">
            <w:pPr>
              <w:spacing w:line="360" w:lineRule="auto"/>
              <w:jc w:val="center"/>
              <w:rPr>
                <w:sz w:val="24"/>
              </w:rPr>
            </w:pPr>
            <w:r>
              <w:rPr>
                <w:sz w:val="24"/>
              </w:rPr>
              <w:t>CVE-2025-68145</w:t>
            </w:r>
          </w:p>
        </w:tc>
      </w:tr>
      <w:tr w14:paraId="3A95A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2E2BAEF7">
            <w:pPr>
              <w:spacing w:line="360" w:lineRule="auto"/>
              <w:jc w:val="center"/>
              <w:rPr>
                <w:sz w:val="24"/>
              </w:rPr>
            </w:pPr>
            <w:r>
              <w:rPr>
                <w:sz w:val="24"/>
              </w:rPr>
              <w:t>无认证 / 认证缺失</w:t>
            </w:r>
          </w:p>
        </w:tc>
        <w:tc>
          <w:tcPr>
            <w:tcW w:w="2841" w:type="dxa"/>
          </w:tcPr>
          <w:p w14:paraId="157EAC12">
            <w:pPr>
              <w:spacing w:line="360" w:lineRule="auto"/>
              <w:jc w:val="center"/>
              <w:rPr>
                <w:sz w:val="24"/>
              </w:rPr>
            </w:pPr>
            <w:r>
              <w:rPr>
                <w:sz w:val="24"/>
              </w:rPr>
              <w:t>CVE-2026-32211</w:t>
            </w:r>
          </w:p>
        </w:tc>
      </w:tr>
      <w:tr w14:paraId="60DF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390F410D">
            <w:pPr>
              <w:spacing w:line="360" w:lineRule="auto"/>
              <w:jc w:val="center"/>
              <w:rPr>
                <w:sz w:val="24"/>
              </w:rPr>
            </w:pPr>
            <w:r>
              <w:rPr>
                <w:sz w:val="24"/>
              </w:rPr>
              <w:t>凭证管理 / 环境变量注入</w:t>
            </w:r>
          </w:p>
        </w:tc>
        <w:tc>
          <w:tcPr>
            <w:tcW w:w="2841" w:type="dxa"/>
          </w:tcPr>
          <w:p w14:paraId="1259C274">
            <w:pPr>
              <w:spacing w:line="360" w:lineRule="auto"/>
              <w:jc w:val="center"/>
              <w:rPr>
                <w:sz w:val="24"/>
              </w:rPr>
            </w:pPr>
            <w:r>
              <w:rPr>
                <w:sz w:val="24"/>
              </w:rPr>
              <w:t>CVE-2026-27203</w:t>
            </w:r>
          </w:p>
        </w:tc>
      </w:tr>
      <w:tr w14:paraId="08B6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F03A43E">
            <w:pPr>
              <w:spacing w:line="360" w:lineRule="auto"/>
              <w:jc w:val="center"/>
              <w:rPr>
                <w:sz w:val="24"/>
              </w:rPr>
            </w:pPr>
            <w:r>
              <w:rPr>
                <w:rFonts w:hint="eastAsia"/>
                <w:sz w:val="24"/>
              </w:rPr>
              <w:t>配置注入 / 未授权配置修改</w:t>
            </w:r>
          </w:p>
        </w:tc>
        <w:tc>
          <w:tcPr>
            <w:tcW w:w="2841" w:type="dxa"/>
          </w:tcPr>
          <w:p w14:paraId="09F8AB38">
            <w:pPr>
              <w:spacing w:line="360" w:lineRule="auto"/>
              <w:jc w:val="center"/>
              <w:rPr>
                <w:sz w:val="24"/>
              </w:rPr>
            </w:pPr>
            <w:r>
              <w:rPr>
                <w:sz w:val="24"/>
              </w:rPr>
              <w:t>CVE-2026-30624</w:t>
            </w:r>
          </w:p>
        </w:tc>
      </w:tr>
      <w:tr w14:paraId="298C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494E1B12">
            <w:pPr>
              <w:spacing w:line="360" w:lineRule="auto"/>
              <w:jc w:val="center"/>
              <w:rPr>
                <w:sz w:val="24"/>
              </w:rPr>
            </w:pPr>
            <w:r>
              <w:rPr>
                <w:sz w:val="24"/>
              </w:rPr>
              <w:t>网络边界 / 访问控制绕过</w:t>
            </w:r>
          </w:p>
        </w:tc>
        <w:tc>
          <w:tcPr>
            <w:tcW w:w="2841" w:type="dxa"/>
          </w:tcPr>
          <w:p w14:paraId="06A05EC6">
            <w:pPr>
              <w:spacing w:line="360" w:lineRule="auto"/>
              <w:jc w:val="center"/>
              <w:rPr>
                <w:sz w:val="24"/>
              </w:rPr>
            </w:pPr>
            <w:r>
              <w:rPr>
                <w:sz w:val="24"/>
              </w:rPr>
              <w:t>CVE-2026-35568</w:t>
            </w:r>
          </w:p>
        </w:tc>
      </w:tr>
      <w:tr w14:paraId="24C0D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4" w:type="dxa"/>
          </w:tcPr>
          <w:p w14:paraId="74A521BE">
            <w:pPr>
              <w:spacing w:line="360" w:lineRule="auto"/>
              <w:jc w:val="center"/>
              <w:rPr>
                <w:sz w:val="24"/>
              </w:rPr>
            </w:pPr>
            <w:r>
              <w:rPr>
                <w:sz w:val="24"/>
              </w:rPr>
              <w:t>授权状态重用 / 配置变更无重授权</w:t>
            </w:r>
          </w:p>
        </w:tc>
        <w:tc>
          <w:tcPr>
            <w:tcW w:w="2841" w:type="dxa"/>
          </w:tcPr>
          <w:p w14:paraId="51A16472">
            <w:pPr>
              <w:spacing w:line="360" w:lineRule="auto"/>
              <w:jc w:val="center"/>
              <w:rPr>
                <w:sz w:val="24"/>
              </w:rPr>
            </w:pPr>
            <w:r>
              <w:rPr>
                <w:sz w:val="24"/>
              </w:rPr>
              <w:t>CVE-2025-54136</w:t>
            </w:r>
          </w:p>
        </w:tc>
      </w:tr>
    </w:tbl>
    <w:p w14:paraId="0E8E4EB2">
      <w:pPr>
        <w:spacing w:line="360" w:lineRule="auto"/>
        <w:ind w:firstLine="420"/>
        <w:rPr>
          <w:sz w:val="24"/>
        </w:rPr>
      </w:pPr>
    </w:p>
    <w:p w14:paraId="77CA43D9">
      <w:pPr>
        <w:spacing w:line="360" w:lineRule="auto"/>
        <w:rPr>
          <w:sz w:val="24"/>
        </w:rPr>
      </w:pPr>
    </w:p>
    <w:p w14:paraId="41DE8849">
      <w:pPr>
        <w:spacing w:line="360" w:lineRule="auto"/>
        <w:rPr>
          <w:b/>
          <w:bCs/>
          <w:sz w:val="24"/>
        </w:rPr>
      </w:pPr>
      <w:r>
        <w:rPr>
          <w:b/>
          <w:bCs/>
          <w:sz w:val="24"/>
        </w:rPr>
        <w:t>1.</w:t>
      </w:r>
      <w:r>
        <w:rPr>
          <w:rFonts w:hint="eastAsia"/>
          <w:b/>
          <w:bCs/>
          <w:sz w:val="24"/>
        </w:rPr>
        <w:t>4</w:t>
      </w:r>
      <w:r>
        <w:rPr>
          <w:b/>
          <w:bCs/>
          <w:sz w:val="24"/>
        </w:rPr>
        <w:t xml:space="preserve"> 智能体</w:t>
      </w:r>
      <w:r>
        <w:rPr>
          <w:rFonts w:hint="eastAsia"/>
          <w:b/>
          <w:bCs/>
          <w:sz w:val="24"/>
        </w:rPr>
        <w:t>的授权问题</w:t>
      </w:r>
    </w:p>
    <w:p w14:paraId="685D4D4D">
      <w:pPr>
        <w:spacing w:line="360" w:lineRule="auto"/>
        <w:ind w:firstLine="420"/>
        <w:rPr>
          <w:sz w:val="24"/>
        </w:rPr>
      </w:pPr>
      <w:r>
        <w:rPr>
          <w:sz w:val="24"/>
        </w:rPr>
        <w:t>智能体的独特特性——自主性、工具</w:t>
      </w:r>
      <w:r>
        <w:rPr>
          <w:rFonts w:hint="eastAsia"/>
          <w:sz w:val="24"/>
        </w:rPr>
        <w:t>和服务</w:t>
      </w:r>
      <w:r>
        <w:rPr>
          <w:sz w:val="24"/>
        </w:rPr>
        <w:t>调用能力、动态决策和多主体协作——使其面临传统软件系统所不具备的安全风险。</w:t>
      </w:r>
      <w:r>
        <w:rPr>
          <w:rFonts w:hint="eastAsia"/>
          <w:sz w:val="24"/>
        </w:rPr>
        <w:t>这种调用外部服务或者访问外部资源的能力使其被攻击后的影响面大大提升，因此对智能体调用外部服务或者访问外部资源的能力进行授权控制是不可或缺的。但是</w:t>
      </w:r>
      <w:r>
        <w:rPr>
          <w:sz w:val="24"/>
        </w:rPr>
        <w:t>授权机制的缺失或不当设计已成为智能体安全漏洞的重要根源。</w:t>
      </w:r>
    </w:p>
    <w:p w14:paraId="43D4AA61">
      <w:pPr>
        <w:spacing w:line="360" w:lineRule="auto"/>
        <w:ind w:firstLine="420"/>
        <w:rPr>
          <w:sz w:val="24"/>
        </w:rPr>
      </w:pPr>
      <w:r>
        <w:rPr>
          <w:sz w:val="24"/>
        </w:rPr>
        <w:t>当前智能体系统普遍面临权限边界模糊的困境：智能体在部署时往往被赋予宽泛的 IAM（Identity and Access Management）角色，且后续缺乏权限审查与动态调整机制。随着时间推移，智能体权限与实际使用需求之间的偏差持续扩大，形成所谓的权限漂移，造成"永久性的待机暴露面"[</w:t>
      </w:r>
      <w:r>
        <w:rPr>
          <w:rFonts w:hint="eastAsia"/>
          <w:sz w:val="24"/>
        </w:rPr>
        <w:t>37</w:t>
      </w:r>
      <w:r>
        <w:rPr>
          <w:sz w:val="24"/>
        </w:rPr>
        <w:t>]。这种粗放式授权模式与"最小权限原则"背道而驰。与此同时，智能体作为"数字员工"需要跨系统访问用户资源（如调用日历 API、读取数据库、发送邮件），但现有 OAuth 等授权协议主要面向人类用户设计，缺乏针对智能体特殊行为模式（如自动化、多步推理、跨用户资源访问）的细粒度授权机制。2026 年 2 月，美国国家标准与技术研究院（NIST）启动 AI Agent 标准倡议，明确将认证、授权、审计与不可否认性列为核心标准维度，反映出该问题已引起顶层政策关注。</w:t>
      </w:r>
    </w:p>
    <w:p w14:paraId="71604944">
      <w:pPr>
        <w:spacing w:line="360" w:lineRule="auto"/>
        <w:ind w:firstLine="420"/>
        <w:rPr>
          <w:sz w:val="24"/>
        </w:rPr>
      </w:pPr>
      <w:r>
        <w:rPr>
          <w:sz w:val="24"/>
        </w:rPr>
        <w:t>OWASP在2025年发布的LLM应用Top 10安全风险中，将"过度代理"列为LLM06号风险[22]。过度代理是指LLM智能体被赋予了超出必要的功能、权限或自主性，从而可能在意外、模糊、幻觉或被操纵的输入驱动下执行有害操作。其根因包括三类：过度功能（工具超出任务所需）、过度权限（以过高权限运行）和过度自主（高风险操作未经人工确认即自动执行）[22]。过度代理与提示注入风险形成危险的协同效应——当智能体持有广泛的工具权限且缺乏运行时授权约束时，成功的提示注入将直接转化为行动性攻击[22]。</w:t>
      </w:r>
    </w:p>
    <w:p w14:paraId="224D8294">
      <w:pPr>
        <w:spacing w:line="360" w:lineRule="auto"/>
        <w:ind w:firstLine="420"/>
        <w:rPr>
          <w:sz w:val="24"/>
        </w:rPr>
      </w:pPr>
      <w:r>
        <w:rPr>
          <w:rFonts w:hint="eastAsia"/>
          <w:sz w:val="24"/>
        </w:rPr>
        <w:t>目前智能体在执行任务时需要访问外部资源或者服务，智能体对于访问外部资源或者服务时，最普遍的是沿用OAuth的授权机制。当需要访问外部资源或服务时，由智能体的所在客户端发起OAuth协议流程，获取资源的OAuth令牌，智能体接着在访问外部资源或服务时在请求中附带OAuth令牌。智能体所在客户端下的所有智能体共用一个访问令牌，智能体并没有独属于自己的身份标识，当智能体需要访问资源时，需要先经过客户端的RBAC访问策略，判断该智能体是否有权访问对应资源，若有权则客户端携带OAuth令牌代替智能体转发访问请求获取资源，之后转发给智能体。</w:t>
      </w:r>
    </w:p>
    <w:p w14:paraId="253B70F7">
      <w:pPr>
        <w:spacing w:line="360" w:lineRule="auto"/>
        <w:rPr>
          <w:sz w:val="24"/>
        </w:rPr>
      </w:pPr>
    </w:p>
    <w:p w14:paraId="66E201E3">
      <w:pPr>
        <w:spacing w:line="360" w:lineRule="auto"/>
        <w:rPr>
          <w:sz w:val="24"/>
        </w:rPr>
      </w:pPr>
    </w:p>
    <w:p w14:paraId="30726B44">
      <w:pPr>
        <w:spacing w:line="360" w:lineRule="auto"/>
        <w:ind w:firstLine="420"/>
        <w:rPr>
          <w:sz w:val="24"/>
        </w:rPr>
      </w:pPr>
    </w:p>
    <w:p w14:paraId="459D69B2">
      <w:pPr>
        <w:spacing w:line="360" w:lineRule="auto"/>
        <w:ind w:firstLine="420"/>
        <w:rPr>
          <w:sz w:val="24"/>
        </w:rPr>
      </w:pPr>
    </w:p>
    <w:p w14:paraId="1F6DF69B">
      <w:pPr>
        <w:spacing w:line="360" w:lineRule="auto"/>
        <w:rPr>
          <w:sz w:val="24"/>
        </w:rPr>
      </w:pPr>
      <w:r>
        <w:rPr>
          <w:sz w:val="24"/>
        </w:rPr>
        <w:br w:type="page"/>
      </w:r>
    </w:p>
    <w:p w14:paraId="26FE0254">
      <w:pPr>
        <w:spacing w:line="360" w:lineRule="auto"/>
        <w:jc w:val="center"/>
        <w:rPr>
          <w:b/>
          <w:bCs/>
          <w:sz w:val="24"/>
          <w:szCs w:val="24"/>
        </w:rPr>
      </w:pPr>
      <w:r>
        <w:rPr>
          <w:rFonts w:hint="eastAsia"/>
          <w:b/>
          <w:bCs/>
          <w:sz w:val="24"/>
          <w:szCs w:val="24"/>
        </w:rPr>
        <w:t>国内外研究现状</w:t>
      </w:r>
    </w:p>
    <w:p w14:paraId="6B01888F">
      <w:pPr>
        <w:spacing w:line="360" w:lineRule="auto"/>
        <w:ind w:firstLine="420"/>
        <w:rPr>
          <w:sz w:val="24"/>
        </w:rPr>
      </w:pPr>
      <w:r>
        <w:rPr>
          <w:rFonts w:hint="eastAsia"/>
          <w:sz w:val="24"/>
        </w:rPr>
        <w:t>智能体在执行任务时需要访问外部资源或者服务，智能体对于访问外部资源或者服务时，最普遍的是沿用OAuth的授权机制。当需要访问外部资源或服务时，由智能体的用户发起OAuth协议流程，获取资源的OAuth令牌，智能体接着在访问外部资源或服务时在请求中附带OAuth令牌。</w:t>
      </w:r>
    </w:p>
    <w:p w14:paraId="664F4BCC">
      <w:pPr>
        <w:spacing w:line="360" w:lineRule="auto"/>
        <w:ind w:firstLine="420"/>
        <w:rPr>
          <w:sz w:val="24"/>
        </w:rPr>
      </w:pPr>
      <w:r>
        <w:rPr>
          <w:rFonts w:hint="eastAsia"/>
          <w:sz w:val="24"/>
        </w:rPr>
        <w:t>然而，在智能体授权领域，尽管OAuth已获广泛应用，它仍然存在许多不足，Chopra 等人的工作指出OAuth在智能体授权领域中存在的多个不足[40]：第一个是权限粒度过大，OAuth 的scope机制无法支持智能体所需的细粒度资源级权限控制；第二个是无动态策略执行，静态token无法支持运行时权限变更和动态策略；缺乏对自主系统的控制，OAuth设计之初假设有用户在场点击"同意"，但 AI Agent 是自主运行的，没有人类实时参与。系统论证了传统授权框架与自主智能体的结构性不匹配。该研究指出，以 OAuth 和 RBAC 为代表的授权系统基于人类组织特征设计，权限变更低频且角色边界清晰；而自主智能体以机器速度运行，需在任务执行过程中进行高频、细粒度的权限动态调整，传统静态角色与粗粒度 scope 机制无法支撑这一需求。同时，智能体对子智能体或外部工具的递归委托访问，使传统 OAuth 的交互流程在机器时间尺度下产生不可接受的性能开销；无状态令牌（JWT）虽具扩展性，却难以在行为突变时快速撤销，短生命周期令牌又引入显著延迟。此外，现有系统缺乏将智能体当前任务、环境上下文纳入实时权限决策的能力。针对上述挑战，该文提出四项设计方向：一是引入基于能力（capability-based）的安全模型（如 macaroons 与 biscuits），通过不可伪造令牌编码复杂权限与委托链，支持离线式权限衰减；二是构建面向机器速度的实时策略评估引擎，实现基于当前条件与系统状态的动态授权；三是推动跨服务标准化协议，使服务以机器可读格式发布权限模型，支持智能体自动发现与请求权限；四是采用边缘验证架构，将授权决策下沉至网络边缘，避免集中式授权服务器成为性能瓶颈。该研究首次从系统架构层面揭示了传统授权范式与自主智能体的根本性矛盾，将智能体授权问题提升为需要重新设计安全模型的核心议题，为后续 IETF 相关草案及 NIST AI Agent 标准倡议中的授权子系统研究奠定了理论基础。</w:t>
      </w:r>
    </w:p>
    <w:p w14:paraId="3DE5C9D9">
      <w:pPr>
        <w:spacing w:line="360" w:lineRule="auto"/>
        <w:ind w:firstLine="420"/>
        <w:rPr>
          <w:sz w:val="24"/>
        </w:rPr>
      </w:pPr>
      <w:r>
        <w:rPr>
          <w:rFonts w:hint="eastAsia"/>
          <w:sz w:val="24"/>
        </w:rPr>
        <w:t>South 等人于 2025年提出了一种面向自主 AI 智能体的可认证、可授权与可审计的委托框架[41]。该研究指出，自主智能体的快速部署在授权、问责与访问控制方面带来了紧迫挑战，现有身份与访问管理协议未能充分解决智能体“代表谁行事”以及“权限边界如何动态约束”的核心问题。为此，该文在保留与现有 Web 基础设施兼容性的前提下，系统扩展了 OAuth 2.0 与 OpenID Connect，引入智能体特定的凭证与元数据机制，构建了人机之间的可验证委托链。该框架的核心机制包含三个层次：在认证层，用户首先向 OpenID Provider（OP）完成身份验证，随后将特定 AI 智能体注册为自身委托代表，OP 为其签发包含智能体唯一标识与属性信息的 Agent-ID Token；在授权层，用户进一步签发 Delegation Token，将特定任务范围的权限加密绑定至该智能体，二者共同封装于 W3C Verifiable Credentials 数据结构中，使智能体在跨服务交互时可被第三方独立验证其代表关系与权限范围；在审计层，所有凭证声明与属性状态均可被交互各方检查与验证，确保委托链条未被篡改。该研究进一步提出将灵活的自然语言权限描述转换为可审计、细粒度访问控制配置的翻译框架，使非技术用户能够以自然语言设定智能体权限，同时下游服务获得可执行的策略规则。此外，该文还探讨了多智能体场景下的相互认证问题：通过联邦 OpenID Provider 架构，不同域内的智能体可交叉验证彼此的委托凭证与授权边界，防止冒充与未授权协作。在法律与治理维度，作者引入代理法（agency law）中的“明显授权”原则，论证了可验证委托框架如何降低第三方因无法确认智能体授权状态而承担的法律风险，为智能体问责提供了法理基础。该研究的意义在于，它首次从协议扩展层面将传统 Web 身份基础设施与智能体委托需求进行系统性融合，提出了一套兼具即时部署可行性与严格安全属性的委托范式。其基于 OAuth/OIDC 的渐进式扩展路径、自然语言权限翻译机制以及跨域多智能体相互认证方案，为后续智能体授权协议的标准化研究（如 IETF 相关草案及 Google A2A 协议的身份层设计）提供了重要的理论与工程参考。</w:t>
      </w:r>
    </w:p>
    <w:p w14:paraId="41E10043">
      <w:pPr>
        <w:spacing w:line="360" w:lineRule="auto"/>
        <w:ind w:firstLine="420"/>
        <w:rPr>
          <w:sz w:val="24"/>
        </w:rPr>
      </w:pPr>
      <w:r>
        <w:rPr>
          <w:rFonts w:hint="eastAsia"/>
          <w:sz w:val="24"/>
        </w:rPr>
        <w:t>在面向企业环境的智能体动态授权研究方面，Fleming 等人于2025年提出了一种融合资源风险感知与模型不确定性量化的任务级授权框架[42]。该研究指出，RBAC与ABAC等静态模型难以应对智能体在执行过程中涌现的新颖任务，而单纯依赖 LLM 即时生成策略又面临两项关键风险：一是 LLM 可能为高风险资源生成过度宽松的权限，二是 LLM 自身可能对其知识盲区过度自信，产生“自信地错误”的授权决策。为此，该文以任务级访问控制为基底，引入 LLM Judge 作为动态策略合成引擎，并扩展其决策维度为三元组：任务意图、复合资源风险评分与模型不确定性估计。具体而言，每个工具或 API 被预先赋予基于业务关键性的静态风险分值；LLM 在合成即时策略的同时，计算该任务所触及资源的复合风险评分，并通过蒙特卡洛 Dropout 或集成方法等方式评估自身对生成策略的置信度。决策引擎依据双重阈值进行动态裁决：仅当复合风险与模型不确定性均低于预设阈值时方可自动授权；任一维度超标即触发人工审批或更严格的控制措施。该框架在事件响应与商业分析两类典型场景中展示了其自适应特性：前者因触及高风险的防火墙 API 且任务新颖导致不确定性高，被自动升级至人工审批；后者因仅涉及低风险的只读 CRM 操作且任务常规，获得全自动授权。作者进一步指出，该模型将访问控制系统从“简单守门人”转化为“复杂风险管理引擎”，为智能体自主性与企业安全性之间的平衡提供了新的理论范式。该研究的价值在于，它首次将任务级风险评估与模型不确定性量化整合为统一的授权框架，突破了传统访问控制“非黑即白”的决策模式，为后续智能体授权协议中引入风险自适应[43]与自感知机制奠定了理论基础。</w:t>
      </w:r>
    </w:p>
    <w:p w14:paraId="5A68AE7E">
      <w:pPr>
        <w:spacing w:line="360" w:lineRule="auto"/>
        <w:ind w:firstLine="420"/>
        <w:rPr>
          <w:sz w:val="24"/>
        </w:rPr>
      </w:pPr>
      <w:r>
        <w:rPr>
          <w:rFonts w:hint="eastAsia"/>
          <w:sz w:val="24"/>
        </w:rPr>
        <w:t>Uchibeke2026年提出将“行动前授权”确立为独立于模型对齐与事后评估的第四类安全架构层[44]。该研究指出，当前智能体执行工具调用时普遍依赖概率性的模型对齐与回顾性的事后评估，二者均无法在单次调用级别提供确定性的策略强制执行。为此，该文提出 Open Agent Passport（OAP）规范，通过在框架层植入before_tool_call同步拦截钩子，在工具调用执行前依据声明式策略进行确定性评估，并生成经 Ed25519 签名的审计记录。该机制具备确定性、完备性、故障关闭、不可绕过与可审计五项核心性质，授权决策中位延迟仅 53 ms。在APort Vault CTF对抗测试中，启用严格OAP策略的高危场景下 879 次攻击尝试的成功率为 0%，验证了确定性策略层对概率性模型缺陷的刚性约束。该工作推动了从“依赖模型自律”到“架构级强制策略”的范式转变，OAP 已集成至六个主流智能体框架并被提议作为 Google A2A 协议扩展，对智能体安全标准化具有重要推动作用。</w:t>
      </w:r>
    </w:p>
    <w:p w14:paraId="36CE2400">
      <w:pPr>
        <w:spacing w:line="360" w:lineRule="auto"/>
        <w:ind w:firstLine="420"/>
        <w:rPr>
          <w:sz w:val="24"/>
        </w:rPr>
      </w:pPr>
      <w:r>
        <w:rPr>
          <w:rFonts w:hint="eastAsia"/>
          <w:sz w:val="24"/>
        </w:rPr>
        <w:t>Prakash 于 2026 年针对当前 MCP 与 A2A 等主流智能体协议缺乏身份验证的结构性缺陷，提出了首个融合公钥可验证委托、持有者侧权限衰减与跨协议传输绑定的身份协议[45]。该研究通过对约 2,000 个 MCP 服务器的扫描发现，所有服务器均缺乏认证机制；A2A 的代理卡片虽包含自声明身份，但无签名绑定。作者系统比较了 OAuth 2.1、W3C DID、Macaroons、UCAN 等 11 类现有方案，发现没有任何单一方案能同时满足智能体身份所需的七项核心性质。该项工作的核心贡献是 Invocation-Bound Capability Tokens（IBCT），一种将身份、衰减授权与溯源绑定融合为单一追加式令牌链的原语，提供紧凑模式（EdDSA 签名 JWT，适用于单跳 MCP 调用）与链式模式（基于 Biscuit 的 Datalog 策略令牌，支持多跳委托）。该研究首次为 MCP 与 A2A 生态提供了统一的身份与可验证委托层，将智能体授权从“协议可选功能”提升为“架构级安全基础”，为后续智能体身份标准化及企业级多智能体系统的安全部署提供了关键理论支撑。</w:t>
      </w:r>
    </w:p>
    <w:p w14:paraId="28709C2C">
      <w:pPr>
        <w:spacing w:line="360" w:lineRule="auto"/>
        <w:ind w:firstLine="420"/>
        <w:rPr>
          <w:sz w:val="24"/>
        </w:rPr>
      </w:pPr>
      <w:r>
        <w:rPr>
          <w:rFonts w:hint="eastAsia"/>
          <w:sz w:val="24"/>
        </w:rPr>
        <w:t>Tallam等人从架构层面提出了一个与提示注入互补且不可归约的新问题——授权传播[46]。该研究指出，当前安全讨论过度聚焦于提示注入攻击向量，而忽视了多智能体系统在正常运行过程中固有的授权架构缺陷。作者将授权传播形式化为三个子问题：传递性委托，即智能体在委托链中如何继承和衰减权限；聚合推理，即多个独立授权的数据访问在合成后可能暴露单独访问不会泄露的信息；以及时间有效性，即多步自主工作流执行过程中授权状态的动态维持问题。</w:t>
      </w:r>
      <w:r>
        <w:rPr>
          <w:sz w:val="24"/>
        </w:rPr>
        <w:t>该文将授权传播形式化为三个子问题：传递性委托的权限边界与累积抑制、多源数据聚合推理的授权判定、以及多步骤工作流中授权变更的时间有效性。基于此，作者推导出多智能体授权架构必须满足的七项结构要求，涵盖智能体作为第一类授权对象、显式有界委托、边界处授权评估、可执行聚合策略、工作流级审计轨迹、时间有效性策略决策以及合成图追溯恢复。研究进一步论证了现有模型的固有局限：RBAC 静态角色无法表达委托链；ABAC 按单次访问独立评估，无法约束跨访问聚合；ReBAC 虽最接近需求，但缺乏对动态工作流、非人类主体及时间有效性的原生支持。作者据此提出“身份治理即基础设施”的核心主张，强调授权评估必须是持续进行的系统属性而非周期性网关检查，应在编排逻辑扩展前作为一等设计约束嵌入架构。来自企业 AI 平台的初步证据表明，普通系统行为已能产生该模型所预测的授权边界失效。该研究首次从系统架构层面将多智能体授权问题从“攻击向量防御”提升至“结构性基础设施设计”高度，为后续智能体授权协议研究提供了形式化的问题分解与治理范式，对当前 IETF 相关草案及企业级多智能体平台的安全架构设计具有重要指导意义。</w:t>
      </w:r>
    </w:p>
    <w:p w14:paraId="7650953E">
      <w:pPr>
        <w:spacing w:line="360" w:lineRule="auto"/>
        <w:rPr>
          <w:sz w:val="24"/>
        </w:rPr>
      </w:pPr>
      <w:r>
        <w:rPr>
          <w:rFonts w:hint="eastAsia"/>
          <w:sz w:val="24"/>
        </w:rPr>
        <w:br w:type="page"/>
      </w:r>
    </w:p>
    <w:p w14:paraId="17E2E02F">
      <w:pPr>
        <w:spacing w:line="360" w:lineRule="auto"/>
        <w:jc w:val="center"/>
        <w:rPr>
          <w:sz w:val="24"/>
        </w:rPr>
      </w:pPr>
      <w:r>
        <w:rPr>
          <w:rFonts w:hint="eastAsia"/>
          <w:b/>
          <w:bCs/>
          <w:sz w:val="24"/>
          <w:szCs w:val="24"/>
        </w:rPr>
        <w:t>主要研究内容</w:t>
      </w:r>
    </w:p>
    <w:p w14:paraId="4119C052">
      <w:pPr>
        <w:spacing w:line="360" w:lineRule="auto"/>
        <w:ind w:firstLine="420"/>
        <w:rPr>
          <w:sz w:val="24"/>
        </w:rPr>
      </w:pPr>
      <w:r>
        <w:rPr>
          <w:rFonts w:hint="eastAsia"/>
          <w:sz w:val="24"/>
        </w:rPr>
        <w:t>尽管目前许多工作提出新型授权框架或者授权协议，但这些工作主要集中在（？）并未注意到目前智能体任务的复杂性、不能适配新型智能体任务执行的自主特性。首先，现有工作均未对授权服务器授予的权限进行降权处理。目前智能体的授权模式是对智能体的宽泛授权，而不是对智能体的精确授权，这种宽权授予是过度授权的根源，导致具有强自主性的智能体利用宽泛权限任意执行操作，因此需要精确界定权限边界实现对智能体的紧授权。例如用户给智能体分配一个发通知邮件给某几个邮箱的任务时，目前的授权模式是给用户授予一个宽泛的发邮件的权限，而用户仅希望授予智能体一个精确的发邮件给对应邮箱地址的权限，因此需要将智能体获得的发邮件权限精确到发邮件给确定用户；其次，有序多任务执行环境下，目前智能体同时授权相应任务执行权限，导致具有强自主性的智能体实施序列混乱、步骤跳跃等攻击，因此需要精确定义序列任务中权限生效依赖关系，确保前置任务完成与后置任务授权生效的原子性。（研究内容一有实例   2也需要有）；最后，（针对研究内容3）</w:t>
      </w:r>
    </w:p>
    <w:p w14:paraId="217E7338">
      <w:pPr>
        <w:spacing w:line="360" w:lineRule="auto"/>
        <w:ind w:firstLine="420"/>
        <w:rPr>
          <w:sz w:val="24"/>
        </w:rPr>
      </w:pPr>
    </w:p>
    <w:p w14:paraId="43A9FABB">
      <w:pPr>
        <w:spacing w:line="360" w:lineRule="auto"/>
        <w:ind w:firstLine="420"/>
        <w:rPr>
          <w:sz w:val="24"/>
        </w:rPr>
      </w:pPr>
      <w:r>
        <w:rPr>
          <w:rFonts w:hint="eastAsia"/>
          <w:sz w:val="24"/>
        </w:rPr>
        <w:t>基于以上关键科学问题，本研究致力于提出一种面向复杂任务的智能体授权协议，以适配智能体复杂任务的新型授权需求，我们主要研究以下几点内容：</w:t>
      </w:r>
    </w:p>
    <w:p w14:paraId="5A9CC8F4">
      <w:pPr>
        <w:numPr>
          <w:ilvl w:val="0"/>
          <w:numId w:val="2"/>
        </w:numPr>
        <w:spacing w:line="360" w:lineRule="auto"/>
        <w:rPr>
          <w:sz w:val="24"/>
        </w:rPr>
      </w:pPr>
      <w:r>
        <w:rPr>
          <w:rFonts w:hint="eastAsia"/>
          <w:sz w:val="24"/>
        </w:rPr>
        <w:t>基于单任务内精确授权的智能体授权协议研究</w:t>
      </w:r>
    </w:p>
    <w:p w14:paraId="183D42BF">
      <w:pPr>
        <w:spacing w:line="360" w:lineRule="auto"/>
        <w:ind w:firstLine="420"/>
        <w:rPr>
          <w:sz w:val="24"/>
        </w:rPr>
      </w:pPr>
      <w:r>
        <w:rPr>
          <w:rFonts w:hint="eastAsia"/>
          <w:sz w:val="24"/>
        </w:rPr>
        <w:t>设计用户给智能体签发的权限参数令牌，与授权服务器给智能体颁发的权限令牌，共同绑定为紧权令牌（精确权限令牌）。从而实现用户主导的紧权令牌，让用户能够对授权服务器颁发的宽泛权限令牌进行降权处理，以适应单任务所需的精确授权需求。设计合理的紧权令牌验证机制，验证紧权令牌的合法性。设计及时的令牌撤销机制，用于用户撤销紧权令牌。</w:t>
      </w:r>
    </w:p>
    <w:p w14:paraId="5D32287F">
      <w:pPr>
        <w:spacing w:line="360" w:lineRule="auto"/>
        <w:rPr>
          <w:sz w:val="24"/>
        </w:rPr>
      </w:pPr>
    </w:p>
    <w:p w14:paraId="785FA234">
      <w:pPr>
        <w:numPr>
          <w:ilvl w:val="0"/>
          <w:numId w:val="2"/>
        </w:numPr>
        <w:spacing w:line="360" w:lineRule="auto"/>
        <w:rPr>
          <w:sz w:val="24"/>
        </w:rPr>
      </w:pPr>
      <w:r>
        <w:rPr>
          <w:rFonts w:hint="eastAsia"/>
          <w:sz w:val="24"/>
        </w:rPr>
        <w:t>基于多任务间顺序授权的智能体授权协议研究</w:t>
      </w:r>
    </w:p>
    <w:p w14:paraId="2849D7FB">
      <w:pPr>
        <w:spacing w:line="360" w:lineRule="auto"/>
        <w:ind w:firstLine="420"/>
        <w:rPr>
          <w:sz w:val="24"/>
        </w:rPr>
      </w:pPr>
      <w:r>
        <w:rPr>
          <w:rFonts w:hint="eastAsia"/>
          <w:sz w:val="24"/>
        </w:rPr>
        <w:t>对于有序的多个任务，设计任务的权限序列拆分机制，接着将多任务序列执行条件归约至条件密码原语，实现前置任务完成与后置任务权限凭证的抽取性绑定；设计原子授权触发机制，保证前置任务完成与后置任务授权获取的原子性。</w:t>
      </w:r>
    </w:p>
    <w:p w14:paraId="6DF6788A">
      <w:pPr>
        <w:spacing w:line="360" w:lineRule="auto"/>
        <w:ind w:firstLine="420"/>
        <w:rPr>
          <w:sz w:val="24"/>
        </w:rPr>
      </w:pPr>
    </w:p>
    <w:p w14:paraId="270E1280">
      <w:pPr>
        <w:spacing w:line="360" w:lineRule="auto"/>
        <w:rPr>
          <w:sz w:val="24"/>
        </w:rPr>
      </w:pPr>
      <w:r>
        <w:rPr>
          <w:rFonts w:hint="eastAsia"/>
          <w:sz w:val="24"/>
        </w:rPr>
        <w:br w:type="page"/>
      </w:r>
    </w:p>
    <w:p w14:paraId="26BADF02">
      <w:pPr>
        <w:spacing w:line="360" w:lineRule="auto"/>
        <w:rPr>
          <w:sz w:val="24"/>
        </w:rPr>
      </w:pPr>
      <w:r>
        <w:rPr>
          <w:rFonts w:hint="eastAsia"/>
          <w:sz w:val="24"/>
        </w:rPr>
        <w:t xml:space="preserve">[1] </w:t>
      </w:r>
      <w:r>
        <w:rPr>
          <w:sz w:val="24"/>
        </w:rPr>
        <w:t>Daley R C, Neumann P G. A general-purpose file system for secondary storage[C]//Proceedings of the Fall Joint Computer Conference (AFIPS FJCC), Vol. 27, Pt. 1. Spartan Books, 1965: 213-229.</w:t>
      </w:r>
    </w:p>
    <w:p w14:paraId="4C559B60">
      <w:pPr>
        <w:spacing w:line="360" w:lineRule="auto"/>
        <w:rPr>
          <w:sz w:val="24"/>
        </w:rPr>
      </w:pPr>
      <w:r>
        <w:rPr>
          <w:sz w:val="24"/>
        </w:rPr>
        <w:t>[2] Dennis J B, Van Horn E C. Programming semantics for multiprogrammed computations[J]. Communications of the ACM, 1966, 9(3): 143-155.</w:t>
      </w:r>
    </w:p>
    <w:p w14:paraId="1D8281A2">
      <w:pPr>
        <w:spacing w:line="360" w:lineRule="auto"/>
        <w:rPr>
          <w:sz w:val="24"/>
        </w:rPr>
      </w:pPr>
      <w:r>
        <w:rPr>
          <w:sz w:val="24"/>
        </w:rPr>
        <w:t>[3] Lampson B W. Protection[J]. ACM Operating Systems Review, 1974, 8(1): 18-24. (Also presented at Proc. 5th Princeton Symposium on Information Science and Systems, 1971.)</w:t>
      </w:r>
    </w:p>
    <w:p w14:paraId="5DEB66F5">
      <w:pPr>
        <w:spacing w:line="360" w:lineRule="auto"/>
        <w:rPr>
          <w:sz w:val="24"/>
        </w:rPr>
      </w:pPr>
      <w:r>
        <w:rPr>
          <w:sz w:val="24"/>
        </w:rPr>
        <w:t>[4] Bell D E, LaPadula L J. Secure computer systems: Mathematical foundations[R]. Technical Report ESD-TR-73-278 (Vols. I-III), MITRE Corporation, 1973.</w:t>
      </w:r>
    </w:p>
    <w:p w14:paraId="0325F062">
      <w:pPr>
        <w:spacing w:line="360" w:lineRule="auto"/>
        <w:rPr>
          <w:sz w:val="24"/>
        </w:rPr>
      </w:pPr>
      <w:r>
        <w:rPr>
          <w:sz w:val="24"/>
        </w:rPr>
        <w:t>[5] Biba K J. Integrity considerations for secure computer systems[R]. Technical Report ESD-TR-76-372 / MTR-3153, MITRE Corporation, April 1977.</w:t>
      </w:r>
    </w:p>
    <w:p w14:paraId="6CDB4D04">
      <w:pPr>
        <w:spacing w:line="360" w:lineRule="auto"/>
        <w:rPr>
          <w:sz w:val="24"/>
        </w:rPr>
      </w:pPr>
      <w:r>
        <w:rPr>
          <w:sz w:val="24"/>
        </w:rPr>
        <w:t>[6] Steiner J G, Neuman B C, Schiller J I. Kerberos: An authentication service for open network systems[C]//Proceedings of the USENIX Winter Conference. Dallas, TX: USENIX Association, 1988: 191-202.</w:t>
      </w:r>
    </w:p>
    <w:p w14:paraId="3BA9CF51">
      <w:pPr>
        <w:spacing w:line="360" w:lineRule="auto"/>
        <w:rPr>
          <w:sz w:val="24"/>
        </w:rPr>
      </w:pPr>
      <w:r>
        <w:rPr>
          <w:sz w:val="24"/>
        </w:rPr>
        <w:t>[7] Kohl J T, Neuman B C. The Kerberos network authentication service (V5)[R]. RFC 1510, IETF, 1993.</w:t>
      </w:r>
    </w:p>
    <w:p w14:paraId="3803F107">
      <w:pPr>
        <w:spacing w:line="360" w:lineRule="auto"/>
        <w:rPr>
          <w:sz w:val="24"/>
        </w:rPr>
      </w:pPr>
      <w:r>
        <w:rPr>
          <w:sz w:val="24"/>
        </w:rPr>
        <w:t>[8] Neuman C, Yu T, Hartman S, Raeburn K. The Kerberos Network Authentication Service (V5)[R]. RFC 4120, IETF, July 2005.</w:t>
      </w:r>
    </w:p>
    <w:p w14:paraId="3FCA2440">
      <w:pPr>
        <w:spacing w:line="360" w:lineRule="auto"/>
        <w:rPr>
          <w:sz w:val="24"/>
        </w:rPr>
      </w:pPr>
      <w:r>
        <w:rPr>
          <w:sz w:val="24"/>
        </w:rPr>
        <w:t>[9] Sandhu R S, Coyne E J, Feinstein H L, Youman C E. Role-based access control models[J]. IEEE Computer, 1996, 29(2): 38-47.</w:t>
      </w:r>
    </w:p>
    <w:p w14:paraId="50A5990E">
      <w:pPr>
        <w:spacing w:line="360" w:lineRule="auto"/>
        <w:rPr>
          <w:sz w:val="24"/>
        </w:rPr>
      </w:pPr>
      <w:r>
        <w:rPr>
          <w:sz w:val="24"/>
        </w:rPr>
        <w:t>[10] Ferraiolo D F, Sandhu R, Gavrila S, Kuhn D R, Chandramouli R. Proposed NIST standard for role-based access control[J]. ACM Transactions on Information and System Security (TISSEC), 2001, 4(3): 224-274.</w:t>
      </w:r>
    </w:p>
    <w:p w14:paraId="70A5C364">
      <w:pPr>
        <w:spacing w:line="360" w:lineRule="auto"/>
        <w:rPr>
          <w:sz w:val="24"/>
        </w:rPr>
      </w:pPr>
      <w:r>
        <w:rPr>
          <w:sz w:val="24"/>
        </w:rPr>
        <w:t>[11] OASIS. Security Assertion Markup Language (SAML) V2.0 Technical Overview[S]. OASIS SSTC Working Draft sstc-saml-tech-overview-2.0-draft-08, March 2005.</w:t>
      </w:r>
    </w:p>
    <w:p w14:paraId="73F13B04">
      <w:pPr>
        <w:spacing w:line="360" w:lineRule="auto"/>
        <w:rPr>
          <w:sz w:val="24"/>
        </w:rPr>
      </w:pPr>
      <w:r>
        <w:rPr>
          <w:sz w:val="24"/>
        </w:rPr>
        <w:t>[12] Cantor S, Kemp J, Philpott R, Maler E, eds. Assertions and Protocols for the OASIS Security Assertion Markup Language (SAML) V2.0[S]. OASIS Standard saml-core-2.0-os, March 2005.</w:t>
      </w:r>
    </w:p>
    <w:p w14:paraId="44399721">
      <w:pPr>
        <w:spacing w:line="360" w:lineRule="auto"/>
        <w:rPr>
          <w:sz w:val="24"/>
        </w:rPr>
      </w:pPr>
      <w:r>
        <w:rPr>
          <w:sz w:val="24"/>
        </w:rPr>
        <w:t>[13] Liberty Alliance Project. Liberty Alliance Identity Federation Framework (ID-FF) 1.2[S]. Contributed to OASIS, November 2003.</w:t>
      </w:r>
    </w:p>
    <w:p w14:paraId="355DC99F">
      <w:pPr>
        <w:spacing w:line="360" w:lineRule="auto"/>
        <w:rPr>
          <w:sz w:val="24"/>
        </w:rPr>
      </w:pPr>
      <w:r>
        <w:rPr>
          <w:sz w:val="24"/>
        </w:rPr>
        <w:t>[14] Moses T, ed. eXtensible Access Control Markup Language (XACML) Version 2.0[S]. OASIS Standard, 2005.</w:t>
      </w:r>
    </w:p>
    <w:p w14:paraId="5099DF11">
      <w:pPr>
        <w:spacing w:line="360" w:lineRule="auto"/>
        <w:rPr>
          <w:sz w:val="24"/>
        </w:rPr>
      </w:pPr>
      <w:r>
        <w:rPr>
          <w:sz w:val="24"/>
        </w:rPr>
        <w:t>[15] Hu V C, Ferraiolo D, Kuhn R, Schnitzer A, Sandlin K, Miller R, Scarfone K. Guide to Attribute Based Access Control (ABAC) Definition and Considerations[S]. NIST Special Publication 800-162, National Institute of Standards and Technology, January 2014.</w:t>
      </w:r>
    </w:p>
    <w:p w14:paraId="5B742D5A">
      <w:pPr>
        <w:spacing w:line="360" w:lineRule="auto"/>
        <w:rPr>
          <w:sz w:val="24"/>
        </w:rPr>
      </w:pPr>
      <w:r>
        <w:rPr>
          <w:sz w:val="24"/>
        </w:rPr>
        <w:t>[16] Hardt D. The OAuth 2.0 Authorization Framework[R]. RFC 6749, IETF, October 2012.</w:t>
      </w:r>
    </w:p>
    <w:p w14:paraId="4FADB45F">
      <w:pPr>
        <w:spacing w:line="360" w:lineRule="auto"/>
        <w:rPr>
          <w:sz w:val="24"/>
        </w:rPr>
      </w:pPr>
      <w:r>
        <w:rPr>
          <w:sz w:val="24"/>
        </w:rPr>
        <w:t>[17] Jones M, Bradley J, Sakimura N. JSON Web Token (JWT)[R]. RFC 7519, IETF, May 2015.</w:t>
      </w:r>
    </w:p>
    <w:p w14:paraId="12BB59F0">
      <w:pPr>
        <w:spacing w:line="360" w:lineRule="auto"/>
        <w:rPr>
          <w:sz w:val="24"/>
        </w:rPr>
      </w:pPr>
      <w:r>
        <w:rPr>
          <w:sz w:val="24"/>
        </w:rPr>
        <w:t>[18] Sakimura N, Bradley J, Jones M, de Medeiros B, Mortimore C. OpenID Connect Core 1.0 incorporating errata set 1[S]. The OpenID Foundation, November 2014.</w:t>
      </w:r>
    </w:p>
    <w:p w14:paraId="06E5EB24">
      <w:pPr>
        <w:spacing w:line="360" w:lineRule="auto"/>
        <w:rPr>
          <w:sz w:val="24"/>
        </w:rPr>
      </w:pPr>
      <w:r>
        <w:rPr>
          <w:sz w:val="24"/>
        </w:rPr>
        <w:t>[19] Sakimura N, Bradley J, Agarwal N. Proof Key for Code Exchange by OAuth Public Clients[R]. RFC 7636, IETF, September 2015.</w:t>
      </w:r>
    </w:p>
    <w:p w14:paraId="5050B7E0">
      <w:pPr>
        <w:spacing w:line="360" w:lineRule="auto"/>
        <w:rPr>
          <w:sz w:val="24"/>
        </w:rPr>
      </w:pPr>
      <w:r>
        <w:rPr>
          <w:sz w:val="24"/>
        </w:rPr>
        <w:t>[20] Fett D, Campbell B, Bradley J, Lodderstedt T, Jones M, Waite D. OAuth 2.0 Demonstrating Proof-of-Possession (DPoP)[R]. RFC 9449, IETF, September 2023.</w:t>
      </w:r>
    </w:p>
    <w:p w14:paraId="12023C9F">
      <w:pPr>
        <w:spacing w:line="360" w:lineRule="auto"/>
        <w:rPr>
          <w:sz w:val="24"/>
        </w:rPr>
      </w:pPr>
      <w:r>
        <w:rPr>
          <w:sz w:val="24"/>
        </w:rPr>
        <w:t>[21] Hardt D, Parecki A, Lodderstedt T. The OAuth 2.1 Authorization Framework[S]. IETF Internet-Draft draft-ietf-oauth-v2-1, 2024.</w:t>
      </w:r>
    </w:p>
    <w:p w14:paraId="3A23431B">
      <w:pPr>
        <w:spacing w:line="360" w:lineRule="auto"/>
        <w:rPr>
          <w:sz w:val="24"/>
        </w:rPr>
      </w:pPr>
      <w:r>
        <w:rPr>
          <w:sz w:val="24"/>
        </w:rPr>
        <w:t>[22] Rose S, Borchert O, Mitchell S, Connelly S. Zero Trust Architecture[S]. NIST Special Publication 800-207, National Institute of Standards and Technology, August 2020.</w:t>
      </w:r>
    </w:p>
    <w:p w14:paraId="1CA1AB10">
      <w:pPr>
        <w:spacing w:line="360" w:lineRule="auto"/>
        <w:rPr>
          <w:sz w:val="24"/>
        </w:rPr>
      </w:pPr>
      <w:r>
        <w:rPr>
          <w:sz w:val="24"/>
        </w:rPr>
        <w:t>[23] Xie Y, et al. Exploit Tool Invocation Prompt for Tool Behavior Hijacking in LLM-Based Agentic System. arXiv:2509.05755, 2025.</w:t>
      </w:r>
    </w:p>
    <w:p w14:paraId="4716CD30">
      <w:pPr>
        <w:spacing w:line="360" w:lineRule="auto"/>
        <w:rPr>
          <w:sz w:val="24"/>
        </w:rPr>
      </w:pPr>
      <w:r>
        <w:rPr>
          <w:sz w:val="24"/>
        </w:rPr>
        <w:t>[24] Zhang X, et al. MemMorph: Tool Hijacking in LLM Agents via Memory Poisoning. arXiv:2605.26154, 2026.</w:t>
      </w:r>
    </w:p>
    <w:p w14:paraId="39607966">
      <w:pPr>
        <w:spacing w:line="360" w:lineRule="auto"/>
        <w:rPr>
          <w:sz w:val="24"/>
        </w:rPr>
      </w:pPr>
      <w:r>
        <w:rPr>
          <w:sz w:val="24"/>
        </w:rPr>
        <w:t>[25] Visual Inception: Compromising Long-term Planning in Agentic Recommenders via Multimodal Memory Poisoning. arXiv:2604.16966, 2026.</w:t>
      </w:r>
    </w:p>
    <w:p w14:paraId="3F374FAE">
      <w:pPr>
        <w:spacing w:line="360" w:lineRule="auto"/>
        <w:rPr>
          <w:sz w:val="24"/>
        </w:rPr>
      </w:pPr>
      <w:r>
        <w:rPr>
          <w:sz w:val="24"/>
        </w:rPr>
        <w:t>[26] The Misattribution Gap: When Memory Poisoning Looks Like Model Failure in Agentic AI Systems. arXiv:2605.22842, 2026.</w:t>
      </w:r>
    </w:p>
    <w:p w14:paraId="03FE5D64">
      <w:pPr>
        <w:spacing w:line="360" w:lineRule="auto"/>
        <w:rPr>
          <w:sz w:val="24"/>
        </w:rPr>
      </w:pPr>
      <w:r>
        <w:rPr>
          <w:sz w:val="24"/>
        </w:rPr>
        <w:t>[27] Anthropic's Mythos Escaped Its Sandbox. Ship Safe CLI Blog / OWASP Agentic AI Top 10 Mapping, 2026.</w:t>
      </w:r>
    </w:p>
    <w:p w14:paraId="03488C64">
      <w:pPr>
        <w:spacing w:line="360" w:lineRule="auto"/>
        <w:rPr>
          <w:sz w:val="24"/>
        </w:rPr>
      </w:pPr>
      <w:r>
        <w:rPr>
          <w:sz w:val="24"/>
        </w:rPr>
        <w:t>[28] 4C Framework: Core Layer Threats in Agentic AI. arXiv:2602.01942, 2026.</w:t>
      </w:r>
    </w:p>
    <w:p w14:paraId="6D328C6C">
      <w:pPr>
        <w:spacing w:line="360" w:lineRule="auto"/>
        <w:rPr>
          <w:sz w:val="24"/>
        </w:rPr>
      </w:pPr>
      <w:r>
        <w:rPr>
          <w:sz w:val="24"/>
        </w:rPr>
        <w:t>[29] Stop Fixating on Prompts: Reasoning Hijacking and Constraint Tightening for Red-Teaming LLM Agents. arXiv:2604.05549, 2026.</w:t>
      </w:r>
    </w:p>
    <w:p w14:paraId="72B6AE81">
      <w:pPr>
        <w:spacing w:line="360" w:lineRule="auto"/>
        <w:rPr>
          <w:sz w:val="24"/>
        </w:rPr>
      </w:pPr>
      <w:r>
        <w:rPr>
          <w:sz w:val="24"/>
        </w:rPr>
        <w:t>[30] Xie Y, et al. Exploit Tool Invocation Prompt for Tool Behavior Hijacking in LLM-Based Agentic System. arXiv:2509.05755, 2025.</w:t>
      </w:r>
    </w:p>
    <w:p w14:paraId="05470E64">
      <w:pPr>
        <w:spacing w:line="360" w:lineRule="auto"/>
        <w:rPr>
          <w:sz w:val="24"/>
        </w:rPr>
      </w:pPr>
      <w:r>
        <w:rPr>
          <w:sz w:val="24"/>
        </w:rPr>
        <w:t>[31] Zhang X, et al. MemMorph: Tool Hijacking in LLM Agents via Memory Poisoning. arXiv:2605.26154, 2026.</w:t>
      </w:r>
    </w:p>
    <w:p w14:paraId="42BEE0DE">
      <w:pPr>
        <w:spacing w:line="360" w:lineRule="auto"/>
        <w:rPr>
          <w:sz w:val="24"/>
        </w:rPr>
      </w:pPr>
      <w:r>
        <w:rPr>
          <w:sz w:val="24"/>
        </w:rPr>
        <w:t>[32] Visual Inception: Compromising Long-term Planning in Agentic Recommenders via Multimodal Memory Poisoning. arXiv:2604.16966, 2026.</w:t>
      </w:r>
    </w:p>
    <w:p w14:paraId="0F22136F">
      <w:pPr>
        <w:spacing w:line="360" w:lineRule="auto"/>
        <w:rPr>
          <w:sz w:val="24"/>
        </w:rPr>
      </w:pPr>
      <w:r>
        <w:rPr>
          <w:sz w:val="24"/>
        </w:rPr>
        <w:t>[33] The Misattribution Gap: When Memory Poisoning Looks Like Model Failure in Agentic AI Systems. arXiv:2605.22842, 2026.</w:t>
      </w:r>
    </w:p>
    <w:p w14:paraId="10F7368E">
      <w:pPr>
        <w:spacing w:line="360" w:lineRule="auto"/>
        <w:rPr>
          <w:sz w:val="24"/>
        </w:rPr>
      </w:pPr>
      <w:r>
        <w:rPr>
          <w:sz w:val="24"/>
        </w:rPr>
        <w:t>[34] Anthropic's Mythos Escaped Its Sandbox. Ship Safe CLI Blog / OWASP Agentic AI Top 10 Mapping, 2026.</w:t>
      </w:r>
    </w:p>
    <w:p w14:paraId="0D05F562">
      <w:pPr>
        <w:spacing w:line="360" w:lineRule="auto"/>
        <w:rPr>
          <w:sz w:val="24"/>
        </w:rPr>
      </w:pPr>
      <w:r>
        <w:rPr>
          <w:sz w:val="24"/>
        </w:rPr>
        <w:t>[35] Stop Fixating on Prompts: Reasoning Hijacking and Constraint Tightening for Red-Teaming LLM Agents. arXiv:2604.05549, 2026.</w:t>
      </w:r>
    </w:p>
    <w:p w14:paraId="149D303F">
      <w:pPr>
        <w:spacing w:line="360" w:lineRule="auto"/>
        <w:rPr>
          <w:sz w:val="24"/>
        </w:rPr>
      </w:pPr>
      <w:r>
        <w:rPr>
          <w:sz w:val="24"/>
        </w:rPr>
        <w:t>[36] Booth H, et al. Accelerating the adoption of software and AI agent identity and authorization[R]. NCCoE Concept Paper, National Institute of Standards and Technology, February 5, 2026.</w:t>
      </w:r>
    </w:p>
    <w:p w14:paraId="54BA3FC5">
      <w:pPr>
        <w:spacing w:line="360" w:lineRule="auto"/>
        <w:rPr>
          <w:sz w:val="24"/>
        </w:rPr>
      </w:pPr>
      <w:r>
        <w:rPr>
          <w:sz w:val="24"/>
        </w:rPr>
        <w:t>[37] 过度代理风险、权限漂移（Privilege Drift）与提示注入攻击相关学术论述。参见前期调研：Agent 被部署时赋予宽泛 IAM 角色且缺乏审查，导致权限漂移风险。</w:t>
      </w:r>
    </w:p>
    <w:p w14:paraId="76333DF9">
      <w:pPr>
        <w:spacing w:line="360" w:lineRule="auto"/>
        <w:rPr>
          <w:sz w:val="24"/>
        </w:rPr>
      </w:pPr>
      <w:r>
        <w:rPr>
          <w:sz w:val="24"/>
        </w:rPr>
        <w:t>[38] 用户前期调研：OAuth 协议在人类用户授权场景中的局限性，以及智能体跨用户资源访问的授权需求。</w:t>
      </w:r>
    </w:p>
    <w:p w14:paraId="7DF381AD">
      <w:pPr>
        <w:spacing w:line="360" w:lineRule="auto"/>
        <w:rPr>
          <w:sz w:val="24"/>
        </w:rPr>
      </w:pPr>
      <w:r>
        <w:rPr>
          <w:sz w:val="24"/>
        </w:rPr>
        <w:t>[39] NIST. AI Agent Standardization Initiative, 2026 年 2 月启动。涵盖认证、授权、审计、不可否认性与提示注入缓解。</w:t>
      </w:r>
    </w:p>
    <w:p w14:paraId="1025A639">
      <w:pPr>
        <w:spacing w:line="360" w:lineRule="auto"/>
        <w:rPr>
          <w:sz w:val="24"/>
        </w:rPr>
      </w:pPr>
      <w:r>
        <w:rPr>
          <w:rFonts w:hint="eastAsia"/>
          <w:sz w:val="24"/>
        </w:rPr>
        <w:t>[40] OAuth Is Not Enough: Authorization Challenges for Autonomous AI Agents</w:t>
      </w:r>
    </w:p>
    <w:p w14:paraId="5EA57F1B">
      <w:pPr>
        <w:spacing w:line="360" w:lineRule="auto"/>
        <w:rPr>
          <w:sz w:val="24"/>
        </w:rPr>
      </w:pPr>
      <w:r>
        <w:rPr>
          <w:rFonts w:hint="eastAsia"/>
          <w:sz w:val="24"/>
        </w:rPr>
        <w:t>[41] Authenticated Delegation and Authorized AI Agents</w:t>
      </w:r>
    </w:p>
    <w:p w14:paraId="07DB2A22">
      <w:pPr>
        <w:spacing w:line="360" w:lineRule="auto"/>
        <w:rPr>
          <w:sz w:val="24"/>
        </w:rPr>
      </w:pPr>
      <w:r>
        <w:rPr>
          <w:rFonts w:hint="eastAsia"/>
          <w:sz w:val="24"/>
        </w:rPr>
        <w:t xml:space="preserve">[42] </w:t>
      </w:r>
      <w:r>
        <w:rPr>
          <w:sz w:val="24"/>
        </w:rPr>
        <w:t>PAuth – Precise Task-Scoped Authorization For Agents</w:t>
      </w:r>
    </w:p>
    <w:p w14:paraId="68E82FD1">
      <w:pPr>
        <w:spacing w:line="360" w:lineRule="auto"/>
        <w:rPr>
          <w:sz w:val="24"/>
        </w:rPr>
      </w:pPr>
      <w:r>
        <w:rPr>
          <w:rFonts w:hint="eastAsia"/>
          <w:sz w:val="24"/>
        </w:rPr>
        <w:t>[43] Before the Tool Call: Deterministic Pre-Action Authorization for Autonomous AI Agents</w:t>
      </w:r>
    </w:p>
    <w:p w14:paraId="4887EDC1">
      <w:pPr>
        <w:spacing w:line="360" w:lineRule="auto"/>
        <w:rPr>
          <w:sz w:val="24"/>
        </w:rPr>
      </w:pPr>
      <w:r>
        <w:rPr>
          <w:rFonts w:hint="eastAsia"/>
          <w:sz w:val="24"/>
        </w:rPr>
        <w:t>[44] Uncertainty-Aware, Risk-Adaptive Access Control for Agentic Systems using an LLM-Judged TBAC Model</w:t>
      </w:r>
    </w:p>
    <w:p w14:paraId="2EF9473D">
      <w:pPr>
        <w:spacing w:line="360" w:lineRule="auto"/>
        <w:rPr>
          <w:sz w:val="24"/>
        </w:rPr>
      </w:pPr>
      <w:r>
        <w:rPr>
          <w:rFonts w:hint="eastAsia"/>
          <w:sz w:val="24"/>
        </w:rPr>
        <w:t>[45] AIP: Agent Identity Protocol for Verifiable Delegation Across MCP and A2A</w:t>
      </w:r>
    </w:p>
    <w:p w14:paraId="6E95BE83">
      <w:pPr>
        <w:spacing w:line="360" w:lineRule="auto"/>
        <w:rPr>
          <w:sz w:val="24"/>
        </w:rPr>
      </w:pPr>
      <w:r>
        <w:rPr>
          <w:rFonts w:hint="eastAsia"/>
          <w:sz w:val="24"/>
        </w:rPr>
        <w:t xml:space="preserve">[46] </w:t>
      </w:r>
      <w:r>
        <w:rPr>
          <w:sz w:val="24"/>
        </w:rPr>
        <w:t>Authorization Propagation in Multi-Agent AI Systems: Identity Governance as Infrastructure</w:t>
      </w:r>
    </w:p>
    <w:p w14:paraId="564F1938">
      <w:pPr>
        <w:numPr>
          <w:ilvl w:val="0"/>
          <w:numId w:val="3"/>
        </w:numPr>
        <w:spacing w:line="360" w:lineRule="auto"/>
        <w:rPr>
          <w:sz w:val="24"/>
        </w:rPr>
      </w:pPr>
      <w:r>
        <w:rPr>
          <w:rFonts w:hint="eastAsia"/>
          <w:sz w:val="24"/>
        </w:rPr>
        <w:br w:type="page"/>
      </w:r>
    </w:p>
    <w:p w14:paraId="64300BB5">
      <w:pPr>
        <w:spacing w:line="360" w:lineRule="auto"/>
        <w:rPr>
          <w:sz w:val="24"/>
        </w:rPr>
      </w:pPr>
    </w:p>
    <w:p w14:paraId="3959A47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01E540"/>
    <w:multiLevelType w:val="singleLevel"/>
    <w:tmpl w:val="3F01E540"/>
    <w:lvl w:ilvl="0" w:tentative="0">
      <w:start w:val="1"/>
      <w:numFmt w:val="chineseCounting"/>
      <w:suff w:val="nothing"/>
      <w:lvlText w:val="%1、"/>
      <w:lvlJc w:val="left"/>
      <w:rPr>
        <w:rFonts w:hint="eastAsia"/>
      </w:rPr>
    </w:lvl>
  </w:abstractNum>
  <w:abstractNum w:abstractNumId="1">
    <w:nsid w:val="5045933A"/>
    <w:multiLevelType w:val="singleLevel"/>
    <w:tmpl w:val="5045933A"/>
    <w:lvl w:ilvl="0" w:tentative="0">
      <w:start w:val="1"/>
      <w:numFmt w:val="decimal"/>
      <w:suff w:val="space"/>
      <w:lvlText w:val="[%1]"/>
      <w:lvlJc w:val="left"/>
    </w:lvl>
  </w:abstractNum>
  <w:abstractNum w:abstractNumId="2">
    <w:nsid w:val="74061428"/>
    <w:multiLevelType w:val="singleLevel"/>
    <w:tmpl w:val="74061428"/>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E5CB2"/>
    <w:rsid w:val="5B9E5CB2"/>
    <w:rsid w:val="76923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2026-06-15T08:58:00Z</dcterms:created>
  <dc:creator>风雨中行走</dc:creator>
  <cp:lastModifiedBy>风雨中行走</cp:lastModifiedBy>
  <dcterms:modified xsi:type="dcterms:W3CDTF">2026-06-15T09:05:12Z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927985630E154D96B5BE70AC8CBDD056_11</vt:lpwstr>
  </property>
  <property fmtid="{D5CDD505-2E9C-101B-9397-08002B2CF9AE}" pid="4" name="KSOTemplateDocerSaveRecord">
    <vt:lpwstr>eyJoZGlkIjoiMjA0MWNmMzA3Yjc3NGUzMGRiMThiZjU2Yzc3MTkzY2IiLCJ1c2VySWQiOiI2MzE1ODk2NjEifQ==</vt:lpwstr>
  </property>
</Properties>
</file>