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e7ce24bdaf1400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ef81e8767394472"/>
                    <a:stretch>
                      <a:fillRect/>
                    </a:stretch>
                  </pic:blipFill>
                  <pic:spPr>
                    <a:xfrm>
                      <a:off x="0" y="0"/>
                      <a:ext cx="7560000" cy="10692000"/>
                    </a:xfrm>
                    <a:prstGeom prst="rect"/>
                  </pic:spPr>
                </pic:pic>
              </a:graphicData>
            </a:graphic>
          </wp:anchor>
        </w:drawing>
      </w:r>
    </w:p>
    <w:p>
      <w:pPr>
        <w:spacing w:before="5000"/>
      </w:pPr>
      <w:r/>
    </w:p>
    <w:p>
      <w:pPr>
        <w:spacing w:after="200"/>
        <w:ind w:left="1200" w:right="1200"/>
        <w:jc w:val="center"/>
      </w:pPr>
      <w:r>
        <w:rPr>
          <w:rFonts w:ascii="Calibri" w:hAnsi="Calibri" w:eastAsia="Microsoft YaHei"/>
          <w:b/>
          <w:color w:val="FFFFFF"/>
          <w:spacing w:val="40"/>
          <w:sz w:val="72"/>
        </w:rPr>
        <w:t>Agent安全论文整理</w:t>
      </w:r>
    </w:p>
    <w:p>
      <w:pPr>
        <w:spacing w:after="600"/>
        <w:ind w:left="1200" w:right="1200"/>
        <w:jc w:val="center"/>
      </w:pPr>
      <w:r>
        <w:rPr>
          <w:rFonts w:ascii="Calibri" w:hAnsi="Calibri" w:eastAsia="Microsoft YaHei"/>
          <w:color w:val="6496c8"/>
          <w:spacing w:val="20"/>
          <w:sz w:val="32"/>
        </w:rPr>
        <w:t>四大安全会议 2025-2026</w:t>
      </w:r>
    </w:p>
    <w:p>
      <w:pPr>
        <w:spacing w:after="3000"/>
        <w:ind w:left="1200" w:right="1200"/>
        <w:jc w:val="center"/>
      </w:pPr>
      <w:r>
        <w:rPr>
          <w:rFonts w:ascii="Calibri" w:hAnsi="Calibri" w:eastAsia="Microsoft YaHei"/>
          <w:color w:val="78909c"/>
          <w:sz w:val="22"/>
        </w:rPr>
        <w:t>IEEE S&amp;P | ACM CCS | USENIX Security | NDSS</w:t>
      </w:r>
    </w:p>
    <w:p>
      <w:pPr>
        <w:ind w:left="1200" w:right="1200"/>
        <w:jc w:val="center"/>
      </w:pPr>
      <w:r>
        <w:rPr>
          <w:rFonts w:ascii="Calibri" w:hAnsi="Calibri" w:eastAsia="Microsoft YaHei"/>
          <w:color w:val="78909c"/>
          <w:sz w:val="20"/>
        </w:rPr>
        <w:t>整理日期：2026年1月</w:t>
      </w:r>
    </w:p>
    <w:p>
      <w:pPr>
        <w:sectPr>
          <w:type w:val="nextPage"/>
          <w:pgSz w:w="11906" w:h="16838"/>
          <w:pgMar w:top="0" w:right="0" w:bottom="0" w:left="0" w:header="0" w:footer="0"/>
          <w:titlePg/>
        </w:sectPr>
      </w:pPr>
    </w:p>
    <w:p>
      <w:pPr>
        <w:pStyle w:val="Heading1"/>
      </w:pPr>
      <w:r>
        <w:t>目录</w:t>
      </w:r>
      <w:bookmarkStart w:name="_Toc000" w:id="-682752851"/>
      <w:bookmarkEnd w:id="-682752851"/>
    </w:p>
    <w:p>
      <w:r>
        <w:fldChar w:fldCharType="begin"/>
      </w:r>
      <w:r>
        <w:instrText xml:space="preserve"> TOC \o "1-3" \h \z \u </w:instrText>
      </w:r>
      <w:r>
        <w:fldChar w:fldCharType="separate"/>
      </w:r>
    </w:p>
    <w:p>
      <w:pPr>
        <w:pStyle w:val="TOC1"/>
      </w:pPr>
      <w:r>
        <w:t>一、概述</w:t>
      </w:r>
      <w:r>
        <w:tab/>
      </w:r>
      <w:r>
        <w:t>3</w:t>
      </w:r>
    </w:p>
    <w:p>
      <w:pPr>
        <w:pStyle w:val="TOC1"/>
      </w:pPr>
      <w:r>
        <w:t>二、论文详情</w:t>
      </w:r>
      <w:r>
        <w:tab/>
      </w:r>
      <w:r>
        <w:t>4</w:t>
      </w:r>
    </w:p>
    <w:p>
      <w:pPr>
        <w:pStyle w:val="TOC2"/>
      </w:pPr>
      <w:r>
        <w:t>2.1 MASLeak (USENIX Security 2026)</w:t>
      </w:r>
      <w:r>
        <w:tab/>
      </w:r>
      <w:r>
        <w:t>4</w:t>
      </w:r>
    </w:p>
    <w:p>
      <w:pPr>
        <w:pStyle w:val="TOC2"/>
      </w:pPr>
      <w:r>
        <w:t>2.2 SoK: Attack and Defense Landscape (USENIX Security 2026)</w:t>
      </w:r>
      <w:r>
        <w:tab/>
      </w:r>
      <w:r>
        <w:t>5</w:t>
      </w:r>
    </w:p>
    <w:p>
      <w:pPr>
        <w:pStyle w:val="TOC2"/>
      </w:pPr>
      <w:r>
        <w:t>2.3 IsolateGPT (NDSS 2025)</w:t>
      </w:r>
      <w:r>
        <w:tab/>
      </w:r>
      <w:r>
        <w:t>6</w:t>
      </w:r>
    </w:p>
    <w:p>
      <w:pPr>
        <w:pStyle w:val="TOC2"/>
      </w:pPr>
      <w:r>
        <w:t>2.4 Chimera (NDSS 2026)</w:t>
      </w:r>
      <w:r>
        <w:tab/>
      </w:r>
      <w:r>
        <w:t>7</w:t>
      </w:r>
    </w:p>
    <w:p>
      <w:pPr>
        <w:pStyle w:val="TOC2"/>
      </w:pPr>
      <w:r>
        <w:t>2.5 AgentSentinel (ACM CCS 2025)</w:t>
      </w:r>
      <w:r>
        <w:tab/>
      </w:r>
      <w:r>
        <w:t>8</w:t>
      </w:r>
    </w:p>
    <w:p>
      <w:r>
        <w:fldChar w:fldCharType="end"/>
      </w:r>
    </w:p>
    <w:p>
      <w:pPr>
        <w:sectPr>
          <w:type w:val="nextPage"/>
          <w:pgSz w:w="11906" w:h="16838"/>
          <w:pgMar w:top="1800" w:right="1440" w:bottom="1440" w:left="1440" w:header="720" w:footer="720"/>
        </w:sectPr>
      </w:pPr>
    </w:p>
    <w:p>
      <w:pPr>
        <w:pStyle w:val="Heading1"/>
      </w:pPr>
      <w:r>
        <w:t>一、概述</w:t>
      </w:r>
      <w:bookmarkStart w:name="_Toc001" w:id="955326856"/>
      <w:bookmarkEnd w:id="955326856"/>
    </w:p>
    <w:p>
      <w:r>
        <w:t>本文档整理了计算机安全四大顶级会议（IEEE S&amp;P、ACM CCS、USENIX Security、NDSS）在2025年和2026年中与Agent安全相关的已接收论文。这些论文涵盖了多Agent系统的知识产权泄露、AI Agent攻击与防御全景、LLM Agent执行隔离、内部威胁模拟以及计算机使用Agent的实时安全防护等多个方面。</w:t>
      </w:r>
    </w:p>
    <w:p>
      <w:r>
        <w:t>随着大语言模型（LLM）与Agent技术的快速发展，Agent安全已成为安全研究领域的重要新兴方向。这些论文从攻击和防御两个角度，为构建安全的Agentic AI系统提供了重要的理论基础和技术方案。</w:t>
      </w:r>
    </w:p>
    <w:p>
      <w:pPr>
        <w:pStyle w:val="Heading1"/>
      </w:pPr>
      <w:r>
        <w:t>二、论文详情</w:t>
      </w:r>
      <w:bookmarkStart w:name="_Toc002" w:id="409417586"/>
      <w:bookmarkEnd w:id="409417586"/>
    </w:p>
    <w:p>
      <w:pPr>
        <w:pStyle w:val="Heading2"/>
      </w:pPr>
      <w:r>
        <w:t>2.1 MASLeak: Investigating and Exposing Intellectual Property Leakage Vulnerabilities in Multi-Agent Systems</w:t>
      </w:r>
    </w:p>
    <w:tbl>
      <w:tblPr>
        <w:tblW w:w="5000" w:type="pct"/>
        <w:tblBorders>
          <w:top w:val="single" w:color="4a6b8a" w:sz="8"/>
          <w:left w:val="nil"/>
          <w:bottom w:val="single" w:color="4a6b8a" w:sz="8"/>
          <w:right w:val="nil"/>
          <w:insideH w:val="single" w:color="d0d8e0" w:sz="4"/>
          <w:insideV w:val="nil"/>
        </w:tblBorders>
      </w:tblPr>
      <w:tblGrid>
        <w:gridCol w:w="2000"/>
        <w:gridCol w:w="7000"/>
      </w:tblGrid>
      <w:tr>
        <w:tc>
          <w:tcPr>
            <w:tcW w:w="2000" w:type="dxa"/>
            <w:shd w:val="clear" w:fill="e8eef3"/>
          </w:tcPr>
          <w:p>
            <w:pPr>
              <w:spacing w:before="60" w:after="60"/>
              <w:ind w:firstLine="0"/>
            </w:pPr>
            <w:r>
              <w:rPr>
                <w:rFonts w:ascii="Calibri" w:hAnsi="Calibri" w:eastAsia="Microsoft YaHei"/>
                <w:b/>
                <w:color w:val="1a2332"/>
                <w:sz w:val="20"/>
              </w:rPr>
              <w:t>会议/年份</w:t>
            </w:r>
          </w:p>
        </w:tc>
        <w:tc>
          <w:tcPr>
            <w:tcW w:w="7000" w:type="dxa"/>
          </w:tcPr>
          <w:p>
            <w:pPr>
              <w:spacing w:before="60" w:after="60"/>
              <w:ind w:firstLine="0"/>
            </w:pPr>
            <w:r>
              <w:rPr>
                <w:rFonts w:ascii="Calibri" w:hAnsi="Calibri" w:eastAsia="Microsoft YaHei"/>
                <w:color w:val="3d5266"/>
                <w:sz w:val="20"/>
              </w:rPr>
              <w:t>USENIX Security 2026</w:t>
            </w:r>
          </w:p>
        </w:tc>
      </w:tr>
      <w:tr>
        <w:tc>
          <w:tcPr>
            <w:tcW w:w="2000" w:type="dxa"/>
            <w:shd w:val="clear" w:fill="e8eef3"/>
          </w:tcPr>
          <w:p>
            <w:pPr>
              <w:spacing w:before="60" w:after="60"/>
              <w:ind w:firstLine="0"/>
            </w:pPr>
            <w:r>
              <w:rPr>
                <w:rFonts w:ascii="Calibri" w:hAnsi="Calibri" w:eastAsia="Microsoft YaHei"/>
                <w:b/>
                <w:color w:val="1a2332"/>
                <w:sz w:val="20"/>
              </w:rPr>
              <w:t>作者团队</w:t>
            </w:r>
          </w:p>
        </w:tc>
        <w:tc>
          <w:tcPr>
            <w:tcW w:w="7000" w:type="dxa"/>
          </w:tcPr>
          <w:p>
            <w:pPr>
              <w:spacing w:before="60" w:after="60"/>
              <w:ind w:firstLine="0"/>
            </w:pPr>
            <w:r>
              <w:rPr>
                <w:rFonts w:ascii="Calibri" w:hAnsi="Calibri" w:eastAsia="Microsoft YaHei"/>
                <w:color w:val="3d5266"/>
                <w:sz w:val="20"/>
              </w:rPr>
              <w:t>Liwen Wang (HKUST), Wenxuan Wang (Renmin University), Shuai Wang (HKUST), Zongjie Li (HKUST), Zhenlan Ji (HKUST), Zongyi LYU (HKUST), Daoyuan Wu (Lingnan University), Shing-Chi Cheung (HKUST)</w:t>
            </w:r>
          </w:p>
        </w:tc>
      </w:tr>
      <w:tr>
        <w:tc>
          <w:tcPr>
            <w:tcW w:w="2000" w:type="dxa"/>
            <w:shd w:val="clear" w:fill="e8eef3"/>
          </w:tcPr>
          <w:p>
            <w:pPr>
              <w:spacing w:before="60" w:after="60"/>
              <w:ind w:firstLine="0"/>
            </w:pPr>
            <w:r>
              <w:rPr>
                <w:rFonts w:ascii="Calibri" w:hAnsi="Calibri" w:eastAsia="Microsoft YaHei"/>
                <w:b/>
                <w:color w:val="1a2332"/>
                <w:sz w:val="20"/>
              </w:rPr>
              <w:t>下载链接</w:t>
            </w:r>
          </w:p>
        </w:tc>
        <w:tc>
          <w:tcPr>
            <w:tcW w:w="7000" w:type="dxa"/>
          </w:tcPr>
          <w:p>
            <w:pPr>
              <w:spacing w:before="60" w:after="60"/>
              <w:ind w:firstLine="0"/>
            </w:pPr>
            <w:r>
              <w:rPr>
                <w:rFonts w:ascii="Calibri" w:hAnsi="Calibri" w:eastAsia="Microsoft YaHei"/>
                <w:color w:val="3d5266"/>
                <w:sz w:val="20"/>
              </w:rPr>
              <w:t>https://www.usenix.org/system/files/conference/usenixsecurity26/sec26_prepub_wang-liwen.pdf</w:t>
            </w:r>
          </w:p>
        </w:tc>
      </w:tr>
    </w:tbl>
    <w:p>
      <w:pPr>
        <w:pStyle w:val="Heading3"/>
      </w:pPr>
      <w:r>
        <w:t>论文摘要</w:t>
      </w:r>
    </w:p>
    <w:p>
      <w:r>
        <w:t>The rapid advancement of Large Language Models (LLMs) has led to the emergence of Multi-Agent Systems (MAS) to perform complex tasks through collaboration. However, the intricate nature of MAS raises significant concerns regarding intellectual property (IP) protection. This paper introduces MASLEAK, the first framework for systematically extracting IP from MAS in a practical black-box setting. MASLEAK achieves high accuracy in extracting MAS IP, with an average attack success rate of 87% for system prompts and task instructions, and 92% for system architecture.</w:t>
      </w:r>
    </w:p>
    <w:p>
      <w:pPr>
        <w:pStyle w:val="Heading3"/>
      </w:pPr>
      <w:r>
        <w:t>主要工作</w:t>
      </w:r>
    </w:p>
    <w:p>
      <w:r>
        <w:t>本文提出了MASLEAK框架，这是首个在实用黑盒设置下系统性地从多Agent系统中提取知识产权的攻击框架。该框架能够在仅访问公共API且不了解内部架构的情况下，成功提取系统提示、任务指令、Agent数量、拓扑结构和工具使用等专有信息。研究还构建了包含810个MAS应用的合成数据集进行评估。</w:t>
      </w:r>
    </w:p>
    <w:p>
      <w:pPr>
        <w:pStyle w:val="Heading2"/>
      </w:pPr>
      <w:r>
        <w:t>2.2 SoK: Attack and Defense Landscape of Agentic AI Systems</w:t>
      </w:r>
    </w:p>
    <w:tbl>
      <w:tblPr>
        <w:tblW w:w="5000" w:type="pct"/>
        <w:tblBorders>
          <w:top w:val="single" w:color="4a6b8a" w:sz="8"/>
          <w:left w:val="nil"/>
          <w:bottom w:val="single" w:color="4a6b8a" w:sz="8"/>
          <w:right w:val="nil"/>
          <w:insideH w:val="single" w:color="d0d8e0" w:sz="4"/>
          <w:insideV w:val="nil"/>
        </w:tblBorders>
      </w:tblPr>
      <w:tblGrid>
        <w:gridCol w:w="2000"/>
        <w:gridCol w:w="7000"/>
      </w:tblGrid>
      <w:tr>
        <w:tc>
          <w:tcPr>
            <w:tcW w:w="2000" w:type="dxa"/>
            <w:shd w:val="clear" w:fill="e8eef3"/>
          </w:tcPr>
          <w:p>
            <w:pPr>
              <w:spacing w:before="60" w:after="60"/>
              <w:ind w:firstLine="0"/>
            </w:pPr>
            <w:r>
              <w:rPr>
                <w:rFonts w:ascii="Calibri" w:hAnsi="Calibri" w:eastAsia="Microsoft YaHei"/>
                <w:b/>
                <w:color w:val="1a2332"/>
                <w:sz w:val="20"/>
              </w:rPr>
              <w:t>会议/年份</w:t>
            </w:r>
          </w:p>
        </w:tc>
        <w:tc>
          <w:tcPr>
            <w:tcW w:w="7000" w:type="dxa"/>
          </w:tcPr>
          <w:p>
            <w:pPr>
              <w:spacing w:before="60" w:after="60"/>
              <w:ind w:firstLine="0"/>
            </w:pPr>
            <w:r>
              <w:rPr>
                <w:rFonts w:ascii="Calibri" w:hAnsi="Calibri" w:eastAsia="Microsoft YaHei"/>
                <w:color w:val="3d5266"/>
                <w:sz w:val="20"/>
              </w:rPr>
              <w:t>USENIX Security 2026</w:t>
            </w:r>
          </w:p>
        </w:tc>
      </w:tr>
      <w:tr>
        <w:tc>
          <w:tcPr>
            <w:tcW w:w="2000" w:type="dxa"/>
            <w:shd w:val="clear" w:fill="e8eef3"/>
          </w:tcPr>
          <w:p>
            <w:pPr>
              <w:spacing w:before="60" w:after="60"/>
              <w:ind w:firstLine="0"/>
            </w:pPr>
            <w:r>
              <w:rPr>
                <w:rFonts w:ascii="Calibri" w:hAnsi="Calibri" w:eastAsia="Microsoft YaHei"/>
                <w:b/>
                <w:color w:val="1a2332"/>
                <w:sz w:val="20"/>
              </w:rPr>
              <w:t>作者团队</w:t>
            </w:r>
          </w:p>
        </w:tc>
        <w:tc>
          <w:tcPr>
            <w:tcW w:w="7000" w:type="dxa"/>
          </w:tcPr>
          <w:p>
            <w:pPr>
              <w:spacing w:before="60" w:after="60"/>
              <w:ind w:firstLine="0"/>
            </w:pPr>
            <w:r>
              <w:rPr>
                <w:rFonts w:ascii="Calibri" w:hAnsi="Calibri" w:eastAsia="Microsoft YaHei"/>
                <w:color w:val="3d5266"/>
                <w:sz w:val="20"/>
              </w:rPr>
              <w:t>Juhee Kim (UC Berkeley and Seoul National University), Xiaoyuan Liu, Zhun Wang, Shi Qiu, Bo Li (UIUC), Wenbo Guo (UC Santa Barbara), Dawn Song (UC Berkeley)</w:t>
            </w:r>
          </w:p>
        </w:tc>
      </w:tr>
      <w:tr>
        <w:tc>
          <w:tcPr>
            <w:tcW w:w="2000" w:type="dxa"/>
            <w:shd w:val="clear" w:fill="e8eef3"/>
          </w:tcPr>
          <w:p>
            <w:pPr>
              <w:spacing w:before="60" w:after="60"/>
              <w:ind w:firstLine="0"/>
            </w:pPr>
            <w:r>
              <w:rPr>
                <w:rFonts w:ascii="Calibri" w:hAnsi="Calibri" w:eastAsia="Microsoft YaHei"/>
                <w:b/>
                <w:color w:val="1a2332"/>
                <w:sz w:val="20"/>
              </w:rPr>
              <w:t>下载链接</w:t>
            </w:r>
          </w:p>
        </w:tc>
        <w:tc>
          <w:tcPr>
            <w:tcW w:w="7000" w:type="dxa"/>
          </w:tcPr>
          <w:p>
            <w:pPr>
              <w:spacing w:before="60" w:after="60"/>
              <w:ind w:firstLine="0"/>
            </w:pPr>
            <w:r>
              <w:rPr>
                <w:rFonts w:ascii="Calibri" w:hAnsi="Calibri" w:eastAsia="Microsoft YaHei"/>
                <w:color w:val="3d5266"/>
                <w:sz w:val="20"/>
              </w:rPr>
              <w:t>https://arxiv.org/pdf/2603.11088</w:t>
            </w:r>
          </w:p>
        </w:tc>
      </w:tr>
    </w:tbl>
    <w:p>
      <w:pPr>
        <w:pStyle w:val="Heading3"/>
      </w:pPr>
      <w:r>
        <w:t>论文摘要</w:t>
      </w:r>
    </w:p>
    <w:p>
      <w:r>
        <w:t>AI agents that combine large language models with non-AI system components are rapidly emerging in real-world applications. However, this unprecedented flexibility introduces complex security challenges fundamentally different from those in traditional software systems. This paper presents the first systematic and comprehensive survey of AI agent security, including an analysis of the design space, attack landscape, and defense mechanisms for secure AI agent systems.</w:t>
      </w:r>
    </w:p>
    <w:p>
      <w:pPr>
        <w:pStyle w:val="Heading3"/>
      </w:pPr>
      <w:r>
        <w:t>主要工作</w:t>
      </w:r>
    </w:p>
    <w:p>
      <w:r>
        <w:t>本文是首篇系统性地综述AI Agent安全领域的SoK（Systematization of Knowledge）论文。论文分析了Agentic AI系统的设计空间，识别了7个决定攻击面的设计维度，包括输入信任、数据访问敏感性、工作流自主性、行动能力、记忆持久性、工具可用性和用户界面能力。论文还提出了"情境安全"（Contextual Security）的新安全目标，并系统梳理了5个层次的防御机制。</w:t>
      </w:r>
    </w:p>
    <w:p>
      <w:pPr>
        <w:pStyle w:val="Heading2"/>
      </w:pPr>
      <w:r>
        <w:t>2.3 IsolateGPT: An Execution Isolation Architecture for LLM-Based Agentic Systems</w:t>
      </w:r>
    </w:p>
    <w:tbl>
      <w:tblPr>
        <w:tblW w:w="5000" w:type="pct"/>
        <w:tblBorders>
          <w:top w:val="single" w:color="4a6b8a" w:sz="8"/>
          <w:left w:val="nil"/>
          <w:bottom w:val="single" w:color="4a6b8a" w:sz="8"/>
          <w:right w:val="nil"/>
          <w:insideH w:val="single" w:color="d0d8e0" w:sz="4"/>
          <w:insideV w:val="nil"/>
        </w:tblBorders>
      </w:tblPr>
      <w:tblGrid>
        <w:gridCol w:w="2000"/>
        <w:gridCol w:w="7000"/>
      </w:tblGrid>
      <w:tr>
        <w:tc>
          <w:tcPr>
            <w:tcW w:w="2000" w:type="dxa"/>
            <w:shd w:val="clear" w:fill="e8eef3"/>
          </w:tcPr>
          <w:p>
            <w:pPr>
              <w:spacing w:before="60" w:after="60"/>
              <w:ind w:firstLine="0"/>
            </w:pPr>
            <w:r>
              <w:rPr>
                <w:rFonts w:ascii="Calibri" w:hAnsi="Calibri" w:eastAsia="Microsoft YaHei"/>
                <w:b/>
                <w:color w:val="1a2332"/>
                <w:sz w:val="20"/>
              </w:rPr>
              <w:t>会议/年份</w:t>
            </w:r>
          </w:p>
        </w:tc>
        <w:tc>
          <w:tcPr>
            <w:tcW w:w="7000" w:type="dxa"/>
          </w:tcPr>
          <w:p>
            <w:pPr>
              <w:spacing w:before="60" w:after="60"/>
              <w:ind w:firstLine="0"/>
            </w:pPr>
            <w:r>
              <w:rPr>
                <w:rFonts w:ascii="Calibri" w:hAnsi="Calibri" w:eastAsia="Microsoft YaHei"/>
                <w:color w:val="3d5266"/>
                <w:sz w:val="20"/>
              </w:rPr>
              <w:t>NDSS 2025</w:t>
            </w:r>
          </w:p>
        </w:tc>
      </w:tr>
      <w:tr>
        <w:tc>
          <w:tcPr>
            <w:tcW w:w="2000" w:type="dxa"/>
            <w:shd w:val="clear" w:fill="e8eef3"/>
          </w:tcPr>
          <w:p>
            <w:pPr>
              <w:spacing w:before="60" w:after="60"/>
              <w:ind w:firstLine="0"/>
            </w:pPr>
            <w:r>
              <w:rPr>
                <w:rFonts w:ascii="Calibri" w:hAnsi="Calibri" w:eastAsia="Microsoft YaHei"/>
                <w:b/>
                <w:color w:val="1a2332"/>
                <w:sz w:val="20"/>
              </w:rPr>
              <w:t>作者团队</w:t>
            </w:r>
          </w:p>
        </w:tc>
        <w:tc>
          <w:tcPr>
            <w:tcW w:w="7000" w:type="dxa"/>
          </w:tcPr>
          <w:p>
            <w:pPr>
              <w:spacing w:before="60" w:after="60"/>
              <w:ind w:firstLine="0"/>
            </w:pPr>
            <w:r>
              <w:rPr>
                <w:rFonts w:ascii="Calibri" w:hAnsi="Calibri" w:eastAsia="Microsoft YaHei"/>
                <w:color w:val="3d5266"/>
                <w:sz w:val="20"/>
              </w:rPr>
              <w:t>Yuhao Wu (Washington University in St. Louis), Franziska Roesner (University of Washington), Tadayoshi Kohno (University of Washington), Ning Zhang (Washington University in St. Louis), Umar Iqbal (Washington University in St. Louis)</w:t>
            </w:r>
          </w:p>
        </w:tc>
      </w:tr>
      <w:tr>
        <w:tc>
          <w:tcPr>
            <w:tcW w:w="2000" w:type="dxa"/>
            <w:shd w:val="clear" w:fill="e8eef3"/>
          </w:tcPr>
          <w:p>
            <w:pPr>
              <w:spacing w:before="60" w:after="60"/>
              <w:ind w:firstLine="0"/>
            </w:pPr>
            <w:r>
              <w:rPr>
                <w:rFonts w:ascii="Calibri" w:hAnsi="Calibri" w:eastAsia="Microsoft YaHei"/>
                <w:b/>
                <w:color w:val="1a2332"/>
                <w:sz w:val="20"/>
              </w:rPr>
              <w:t>下载链接</w:t>
            </w:r>
          </w:p>
        </w:tc>
        <w:tc>
          <w:tcPr>
            <w:tcW w:w="7000" w:type="dxa"/>
          </w:tcPr>
          <w:p>
            <w:pPr>
              <w:spacing w:before="60" w:after="60"/>
              <w:ind w:firstLine="0"/>
            </w:pPr>
            <w:r>
              <w:rPr>
                <w:rFonts w:ascii="Calibri" w:hAnsi="Calibri" w:eastAsia="Microsoft YaHei"/>
                <w:color w:val="3d5266"/>
                <w:sz w:val="20"/>
              </w:rPr>
              <w:t>https://www.ndss-symposium.org/wp-content/uploads/2025-1131-paper.pdf</w:t>
            </w:r>
          </w:p>
        </w:tc>
      </w:tr>
    </w:tbl>
    <w:p>
      <w:pPr>
        <w:pStyle w:val="Heading3"/>
      </w:pPr>
      <w:r>
        <w:t>论文摘要</w:t>
      </w:r>
    </w:p>
    <w:p>
      <w:r>
        <w:t>Large language models (LLMs) extended as systems have begun supporting third-party applications. These LLM apps leverage natural language-based automated execution paradigm. Because third-party apps may not be trustworthy, the current designs pose security and privacy risks. This paper proposes IsolateGPT, a design architecture that demonstrates the feasibility of execution isolation in LLM-based systems. The performance overhead incurred by IsolateGPT is under 30% for three-quarters of tested queries.</w:t>
      </w:r>
    </w:p>
    <w:p>
      <w:pPr>
        <w:pStyle w:val="Heading3"/>
      </w:pPr>
      <w:r>
        <w:t>主要工作</w:t>
      </w:r>
    </w:p>
    <w:p>
      <w:r>
        <w:t>本文提出了IsolateGPT，这是首个为基于LLM的Agentic系统设计的执行隔离架构。该架构借鉴了早期计算平台中应用隔离的经验，在LLM应用与系统之间建立了隔离边界，防止不可信的第三方应用访问敏感资源。实验表明，该架构在仅产生不到30%性能开销的情况下，有效保护了系统的安全性和隐私性。</w:t>
      </w:r>
    </w:p>
    <w:p>
      <w:pPr>
        <w:pStyle w:val="Heading2"/>
      </w:pPr>
      <w:r>
        <w:t>2.4 Chimera: Harnessing Multi-Agent LLMs for Automatic Insider Threat Simulation</w:t>
      </w:r>
    </w:p>
    <w:tbl>
      <w:tblPr>
        <w:tblW w:w="5000" w:type="pct"/>
        <w:tblBorders>
          <w:top w:val="single" w:color="4a6b8a" w:sz="8"/>
          <w:left w:val="nil"/>
          <w:bottom w:val="single" w:color="4a6b8a" w:sz="8"/>
          <w:right w:val="nil"/>
          <w:insideH w:val="single" w:color="d0d8e0" w:sz="4"/>
          <w:insideV w:val="nil"/>
        </w:tblBorders>
      </w:tblPr>
      <w:tblGrid>
        <w:gridCol w:w="2000"/>
        <w:gridCol w:w="7000"/>
      </w:tblGrid>
      <w:tr>
        <w:tc>
          <w:tcPr>
            <w:tcW w:w="2000" w:type="dxa"/>
            <w:shd w:val="clear" w:fill="e8eef3"/>
          </w:tcPr>
          <w:p>
            <w:pPr>
              <w:spacing w:before="60" w:after="60"/>
              <w:ind w:firstLine="0"/>
            </w:pPr>
            <w:r>
              <w:rPr>
                <w:rFonts w:ascii="Calibri" w:hAnsi="Calibri" w:eastAsia="Microsoft YaHei"/>
                <w:b/>
                <w:color w:val="1a2332"/>
                <w:sz w:val="20"/>
              </w:rPr>
              <w:t>会议/年份</w:t>
            </w:r>
          </w:p>
        </w:tc>
        <w:tc>
          <w:tcPr>
            <w:tcW w:w="7000" w:type="dxa"/>
          </w:tcPr>
          <w:p>
            <w:pPr>
              <w:spacing w:before="60" w:after="60"/>
              <w:ind w:firstLine="0"/>
            </w:pPr>
            <w:r>
              <w:rPr>
                <w:rFonts w:ascii="Calibri" w:hAnsi="Calibri" w:eastAsia="Microsoft YaHei"/>
                <w:color w:val="3d5266"/>
                <w:sz w:val="20"/>
              </w:rPr>
              <w:t>NDSS 2026</w:t>
            </w:r>
          </w:p>
        </w:tc>
      </w:tr>
      <w:tr>
        <w:tc>
          <w:tcPr>
            <w:tcW w:w="2000" w:type="dxa"/>
            <w:shd w:val="clear" w:fill="e8eef3"/>
          </w:tcPr>
          <w:p>
            <w:pPr>
              <w:spacing w:before="60" w:after="60"/>
              <w:ind w:firstLine="0"/>
            </w:pPr>
            <w:r>
              <w:rPr>
                <w:rFonts w:ascii="Calibri" w:hAnsi="Calibri" w:eastAsia="Microsoft YaHei"/>
                <w:b/>
                <w:color w:val="1a2332"/>
                <w:sz w:val="20"/>
              </w:rPr>
              <w:t>作者团队</w:t>
            </w:r>
          </w:p>
        </w:tc>
        <w:tc>
          <w:tcPr>
            <w:tcW w:w="7000" w:type="dxa"/>
          </w:tcPr>
          <w:p>
            <w:pPr>
              <w:spacing w:before="60" w:after="60"/>
              <w:ind w:firstLine="0"/>
            </w:pPr>
            <w:r>
              <w:rPr>
                <w:rFonts w:ascii="Calibri" w:hAnsi="Calibri" w:eastAsia="Microsoft YaHei"/>
                <w:color w:val="3d5266"/>
                <w:sz w:val="20"/>
              </w:rPr>
              <w:t>Jiongchi Yu (Singapore Management University), Xiaofei Xie (Singapore Management University), Qiang Hu (Tianjin University), Yuhan Ma (Tianjin University), Ziming Zhao (Zhejiang University)</w:t>
            </w:r>
          </w:p>
        </w:tc>
      </w:tr>
      <w:tr>
        <w:tc>
          <w:tcPr>
            <w:tcW w:w="2000" w:type="dxa"/>
            <w:shd w:val="clear" w:fill="e8eef3"/>
          </w:tcPr>
          <w:p>
            <w:pPr>
              <w:spacing w:before="60" w:after="60"/>
              <w:ind w:firstLine="0"/>
            </w:pPr>
            <w:r>
              <w:rPr>
                <w:rFonts w:ascii="Calibri" w:hAnsi="Calibri" w:eastAsia="Microsoft YaHei"/>
                <w:b/>
                <w:color w:val="1a2332"/>
                <w:sz w:val="20"/>
              </w:rPr>
              <w:t>下载链接</w:t>
            </w:r>
          </w:p>
        </w:tc>
        <w:tc>
          <w:tcPr>
            <w:tcW w:w="7000" w:type="dxa"/>
          </w:tcPr>
          <w:p>
            <w:pPr>
              <w:spacing w:before="60" w:after="60"/>
              <w:ind w:firstLine="0"/>
            </w:pPr>
            <w:r>
              <w:rPr>
                <w:rFonts w:ascii="Calibri" w:hAnsi="Calibri" w:eastAsia="Microsoft YaHei"/>
                <w:color w:val="3d5266"/>
                <w:sz w:val="20"/>
              </w:rPr>
              <w:t>https://www.ndss-symposium.org/wp-content/uploads/2026-f375-paper.pdf</w:t>
            </w:r>
          </w:p>
        </w:tc>
      </w:tr>
    </w:tbl>
    <w:p>
      <w:pPr>
        <w:pStyle w:val="Heading3"/>
      </w:pPr>
      <w:r>
        <w:t>论文摘要</w:t>
      </w:r>
    </w:p>
    <w:p>
      <w:r>
        <w:t>Insider threats represent a significant security risk, yet remain difficult to detect. This paper proposes Chimera, a large language model (LLM)-based multi-agent framework that automatically simulates both benign and malicious insider activities and monitors comprehensive system logs across diverse enterprise environments. Chimera constructs a new dataset, ChimeraLog, for supporting the development and evaluation of Insider Threat Detection (ITD) methods.</w:t>
      </w:r>
    </w:p>
    <w:p>
      <w:pPr>
        <w:pStyle w:val="Heading3"/>
      </w:pPr>
      <w:r>
        <w:t>主要工作</w:t>
      </w:r>
    </w:p>
    <w:p>
      <w:r>
        <w:t>本文提出了Chimera框架，利用多Agent LLM系统自动模拟企业内部人员的正常和恶意行为，生成逼真的系统日志数据。该框架基于从真实事件中抽象出的15种内部攻击类型，构建了ChimeraLog数据集。实验表明，在ChimeraLog上训练的ITD模型展现出强大的泛化能力，为内部威胁检测研究提供了有价值的基准数据集。</w:t>
      </w:r>
    </w:p>
    <w:p>
      <w:pPr>
        <w:pStyle w:val="Heading2"/>
      </w:pPr>
      <w:r>
        <w:t>2.5 AgentSentinel: An End-to-End and Real-Time Security Defense Framework for Computer-Use Agents</w:t>
      </w:r>
    </w:p>
    <w:tbl>
      <w:tblPr>
        <w:tblW w:w="5000" w:type="pct"/>
        <w:tblBorders>
          <w:top w:val="single" w:color="4a6b8a" w:sz="8"/>
          <w:left w:val="nil"/>
          <w:bottom w:val="single" w:color="4a6b8a" w:sz="8"/>
          <w:right w:val="nil"/>
          <w:insideH w:val="single" w:color="d0d8e0" w:sz="4"/>
          <w:insideV w:val="nil"/>
        </w:tblBorders>
      </w:tblPr>
      <w:tblGrid>
        <w:gridCol w:w="2000"/>
        <w:gridCol w:w="7000"/>
      </w:tblGrid>
      <w:tr>
        <w:tc>
          <w:tcPr>
            <w:tcW w:w="2000" w:type="dxa"/>
            <w:shd w:val="clear" w:fill="e8eef3"/>
          </w:tcPr>
          <w:p>
            <w:pPr>
              <w:spacing w:before="60" w:after="60"/>
              <w:ind w:firstLine="0"/>
            </w:pPr>
            <w:r>
              <w:rPr>
                <w:rFonts w:ascii="Calibri" w:hAnsi="Calibri" w:eastAsia="Microsoft YaHei"/>
                <w:b/>
                <w:color w:val="1a2332"/>
                <w:sz w:val="20"/>
              </w:rPr>
              <w:t>会议/年份</w:t>
            </w:r>
          </w:p>
        </w:tc>
        <w:tc>
          <w:tcPr>
            <w:tcW w:w="7000" w:type="dxa"/>
          </w:tcPr>
          <w:p>
            <w:pPr>
              <w:spacing w:before="60" w:after="60"/>
              <w:ind w:firstLine="0"/>
            </w:pPr>
            <w:r>
              <w:rPr>
                <w:rFonts w:ascii="Calibri" w:hAnsi="Calibri" w:eastAsia="Microsoft YaHei"/>
                <w:color w:val="3d5266"/>
                <w:sz w:val="20"/>
              </w:rPr>
              <w:t>ACM CCS 2025</w:t>
            </w:r>
          </w:p>
        </w:tc>
      </w:tr>
      <w:tr>
        <w:tc>
          <w:tcPr>
            <w:tcW w:w="2000" w:type="dxa"/>
            <w:shd w:val="clear" w:fill="e8eef3"/>
          </w:tcPr>
          <w:p>
            <w:pPr>
              <w:spacing w:before="60" w:after="60"/>
              <w:ind w:firstLine="0"/>
            </w:pPr>
            <w:r>
              <w:rPr>
                <w:rFonts w:ascii="Calibri" w:hAnsi="Calibri" w:eastAsia="Microsoft YaHei"/>
                <w:b/>
                <w:color w:val="1a2332"/>
                <w:sz w:val="20"/>
              </w:rPr>
              <w:t>作者团队</w:t>
            </w:r>
          </w:p>
        </w:tc>
        <w:tc>
          <w:tcPr>
            <w:tcW w:w="7000" w:type="dxa"/>
          </w:tcPr>
          <w:p>
            <w:pPr>
              <w:spacing w:before="60" w:after="60"/>
              <w:ind w:firstLine="0"/>
            </w:pPr>
            <w:r>
              <w:rPr>
                <w:rFonts w:ascii="Calibri" w:hAnsi="Calibri" w:eastAsia="Microsoft YaHei"/>
                <w:color w:val="3d5266"/>
                <w:sz w:val="20"/>
              </w:rPr>
              <w:t>Haitao Hu (ShanghaiTech University), Peng Chen (Independent Researcher), Yanpeng Zhao (Independent Researcher), Yuqi Chen (ShanghaiTech University)</w:t>
            </w:r>
          </w:p>
        </w:tc>
      </w:tr>
      <w:tr>
        <w:tc>
          <w:tcPr>
            <w:tcW w:w="2000" w:type="dxa"/>
            <w:shd w:val="clear" w:fill="e8eef3"/>
          </w:tcPr>
          <w:p>
            <w:pPr>
              <w:spacing w:before="60" w:after="60"/>
              <w:ind w:firstLine="0"/>
            </w:pPr>
            <w:r>
              <w:rPr>
                <w:rFonts w:ascii="Calibri" w:hAnsi="Calibri" w:eastAsia="Microsoft YaHei"/>
                <w:b/>
                <w:color w:val="1a2332"/>
                <w:sz w:val="20"/>
              </w:rPr>
              <w:t>下载链接</w:t>
            </w:r>
          </w:p>
        </w:tc>
        <w:tc>
          <w:tcPr>
            <w:tcW w:w="7000" w:type="dxa"/>
          </w:tcPr>
          <w:p>
            <w:pPr>
              <w:spacing w:before="60" w:after="60"/>
              <w:ind w:firstLine="0"/>
            </w:pPr>
            <w:r>
              <w:rPr>
                <w:rFonts w:ascii="Calibri" w:hAnsi="Calibri" w:eastAsia="Microsoft YaHei"/>
                <w:color w:val="3d5266"/>
                <w:sz w:val="20"/>
              </w:rPr>
              <w:t>https://arxiv.org/pdf/2509.07764</w:t>
            </w:r>
          </w:p>
        </w:tc>
      </w:tr>
    </w:tbl>
    <w:p>
      <w:pPr>
        <w:pStyle w:val="Heading3"/>
      </w:pPr>
      <w:r>
        <w:t>论文摘要</w:t>
      </w:r>
    </w:p>
    <w:p>
      <w:r>
        <w:t>Large Language Models (LLMs) have been increasingly integrated into computer-use agents. However, due to the inherently unstable and unpredictable nature of LLM outputs, they may issue unintended tool commands leading to harmful operations. This paper proposes AgentSentinel, an end-to-end, real-time defense framework that intercepts all sensitive operations and halts execution until a comprehensive security audit is completed. AgentSentinel achieves an average defense success rate of 79.6%.</w:t>
      </w:r>
    </w:p>
    <w:p>
      <w:pPr>
        <w:pStyle w:val="Heading3"/>
      </w:pPr>
      <w:r>
        <w:t>主要工作</w:t>
      </w:r>
    </w:p>
    <w:p>
      <w:r>
        <w:t>本文提出了AgentSentinel，这是首个端到端的实时安全防护框架，专门用于保护计算机使用Agent。该框架通过拦截所有敏感操作并在执行前进行全面的安全审计，有效防止了LLM Agent执行有害操作。研究还构建了BadComputerUse基准测试，包含60种跨6个类别的攻击场景。评估显示AgentSentinel的平均防御成功率达到79.6%，显著优于现有基线防御方法。</w:t>
      </w:r>
    </w:p>
    <w:p>
      <w:pPr>
        <w:sectPr>
          <w:headerReference w:type="default" r:id="Rffc0e3bc2bc64c7a"/>
          <w:footerReference w:type="default" r:id="R72e034f658f7479e"/>
          <w:pgSz w:w="11906" w:h="16838"/>
          <w:pgMar w:top="1800" w:right="1440" w:bottom="1440" w:left="1440" w:header="720" w:footer="720"/>
        </w:sectPr>
      </w:pPr>
    </w:p>
  </w:body>
</w:document>
</file>

<file path=word/footer1.xml><?xml version="1.0" encoding="utf-8"?>
<w:ftr xmlns:w="http://schemas.openxmlformats.org/wordprocessingml/2006/main">
  <w:p>
    <w:pPr>
      <w:jc w:val="center"/>
    </w:pPr>
    <w:r>
      <w:rPr>
        <w:rFonts w:ascii="Calibri" w:hAnsi="Calibri" w:eastAsia="Microsoft YaHei"/>
        <w:color w:val="78909c"/>
        <w:sz w:val="18"/>
      </w:rPr>
      <w:t xml:space="preserve">第 </w:t>
    </w:r>
    <w:r>
      <w:rPr>
        <w:rFonts w:ascii="Calibri" w:hAnsi="Calibri" w:eastAsia="Microsoft YaHei"/>
        <w:color w:val="78909c"/>
        <w:sz w:val="18"/>
      </w:rPr>
      <w:fldChar w:fldCharType="begin"/>
    </w:r>
    <w:r>
      <w:rPr>
        <w:rFonts w:ascii="Calibri" w:hAnsi="Calibri" w:eastAsia="Microsoft YaHei"/>
        <w:color w:val="78909c"/>
        <w:sz w:val="18"/>
      </w:rPr>
      <w:instrText xml:space="preserve"> PAGE </w:instrText>
    </w:r>
    <w:r>
      <w:rPr>
        <w:rFonts w:ascii="Calibri" w:hAnsi="Calibri" w:eastAsia="Microsoft YaHei"/>
        <w:color w:val="78909c"/>
        <w:sz w:val="18"/>
      </w:rPr>
      <w:fldChar w:fldCharType="separate"/>
    </w:r>
    <w:r>
      <w:rPr>
        <w:rFonts w:ascii="Calibri" w:hAnsi="Calibri" w:eastAsia="Microsoft YaHei"/>
        <w:color w:val="78909c"/>
        <w:sz w:val="18"/>
      </w:rPr>
      <w:t>1</w:t>
    </w:r>
    <w:r>
      <w:rPr>
        <w:rFonts w:ascii="Calibri" w:hAnsi="Calibri" w:eastAsia="Microsoft YaHei"/>
        <w:color w:val="78909c"/>
        <w:sz w:val="18"/>
      </w:rPr>
      <w:fldChar w:fldCharType="end"/>
    </w:r>
    <w:r>
      <w:rPr>
        <w:rFonts w:ascii="Calibri" w:hAnsi="Calibri" w:eastAsia="Microsoft YaHei"/>
        <w:color w:val="78909c"/>
        <w:sz w:val="18"/>
      </w:rPr>
      <w:t xml:space="preserve"> 页 / 共 </w:t>
    </w:r>
    <w:r>
      <w:rPr>
        <w:rFonts w:ascii="Calibri" w:hAnsi="Calibri" w:eastAsia="Microsoft YaHei"/>
        <w:color w:val="78909c"/>
        <w:sz w:val="18"/>
      </w:rPr>
      <w:fldChar w:fldCharType="begin"/>
    </w:r>
    <w:r>
      <w:rPr>
        <w:rFonts w:ascii="Calibri" w:hAnsi="Calibri" w:eastAsia="Microsoft YaHei"/>
        <w:color w:val="78909c"/>
        <w:sz w:val="18"/>
      </w:rPr>
      <w:instrText xml:space="preserve"> NUMPAGES </w:instrText>
    </w:r>
    <w:r>
      <w:rPr>
        <w:rFonts w:ascii="Calibri" w:hAnsi="Calibri" w:eastAsia="Microsoft YaHei"/>
        <w:color w:val="78909c"/>
        <w:sz w:val="18"/>
      </w:rPr>
      <w:fldChar w:fldCharType="separate"/>
    </w:r>
    <w:r>
      <w:rPr>
        <w:rFonts w:ascii="Calibri" w:hAnsi="Calibri" w:eastAsia="Microsoft YaHei"/>
        <w:color w:val="78909c"/>
        <w:sz w:val="18"/>
      </w:rPr>
      <w:t>1</w:t>
    </w:r>
    <w:r>
      <w:rPr>
        <w:rFonts w:ascii="Calibri" w:hAnsi="Calibri" w:eastAsia="Microsoft YaHei"/>
        <w:color w:val="78909c"/>
        <w:sz w:val="18"/>
      </w:rPr>
      <w:fldChar w:fldCharType="end"/>
    </w:r>
    <w:r>
      <w:rPr>
        <w:rFonts w:ascii="Calibri" w:hAnsi="Calibri" w:eastAsia="Microsoft YaHei"/>
        <w:color w:val="78909c"/>
        <w:sz w:val="18"/>
      </w:rPr>
      <w:t xml:space="preserve"> 页</w:t>
    </w:r>
  </w:p>
</w:ftr>
</file>

<file path=word/header1.xml><?xml version="1.0" encoding="utf-8"?>
<w:hdr xmlns:w="http://schemas.openxmlformats.org/wordprocessingml/2006/main">
  <w:p>
    <w:pPr>
      <w:jc w:val="right"/>
    </w:pPr>
    <w:r>
      <w:rPr>
        <w:rFonts w:ascii="Calibri" w:hAnsi="Calibri" w:eastAsia="Microsoft YaHei"/>
        <w:color w:val="78909c"/>
        <w:sz w:val="18"/>
      </w:rPr>
      <w:t>Agent安全论文整理</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1a2332"/>
      <w:sz w:val="21"/>
    </w:rPr>
  </w:style>
  <w:style w:type="paragraph" w:styleId="Heading1">
    <w:name w:val="heading 1"/>
    <w:basedOn w:val="Normal"/>
    <w:pPr>
      <w:keepNext/>
      <w:keepLines/>
      <w:spacing w:before="600" w:after="240"/>
      <w:ind w:firstLine="0"/>
      <w:outlineLvl w:val="0"/>
    </w:pPr>
    <w:rPr>
      <w:rFonts w:ascii="Calibri" w:hAnsi="Calibri" w:eastAsia="Microsoft YaHei"/>
      <w:b/>
      <w:color w:val="2d3a4a"/>
      <w:sz w:val="36"/>
    </w:rPr>
  </w:style>
  <w:style w:type="paragraph" w:styleId="Heading2">
    <w:name w:val="heading 2"/>
    <w:basedOn w:val="Normal"/>
    <w:pPr>
      <w:keepNext/>
      <w:keepLines/>
      <w:spacing w:before="400" w:after="160"/>
      <w:ind w:firstLine="0"/>
      <w:outlineLvl w:val="1"/>
    </w:pPr>
    <w:rPr>
      <w:rFonts w:ascii="Calibri" w:hAnsi="Calibri" w:eastAsia="Microsoft YaHei"/>
      <w:b/>
      <w:color w:val="1a2332"/>
      <w:sz w:val="28"/>
    </w:rPr>
  </w:style>
  <w:style w:type="paragraph" w:styleId="Heading3">
    <w:name w:val="heading 3"/>
    <w:basedOn w:val="Normal"/>
    <w:pPr>
      <w:keepNext/>
      <w:keepLines/>
      <w:spacing w:before="280" w:after="120"/>
      <w:ind w:firstLine="0"/>
      <w:outlineLvl w:val="2"/>
    </w:pPr>
    <w:rPr>
      <w:rFonts w:ascii="Calibri" w:hAnsi="Calibri" w:eastAsia="Microsoft YaHei"/>
      <w:b/>
      <w:color w:val="3d5266"/>
      <w:sz w:val="24"/>
    </w:rPr>
  </w:style>
  <w:style w:type="paragraph" w:styleId="Caption">
    <w:name w:val="Caption"/>
    <w:basedOn w:val="Normal"/>
    <w:pPr>
      <w:spacing w:before="60" w:after="320"/>
      <w:ind w:firstLine="0"/>
      <w:jc w:val="center"/>
    </w:pPr>
    <w:rPr>
      <w:rFonts w:ascii="Calibri" w:hAnsi="Calibri" w:eastAsia="Microsoft YaHei"/>
      <w:color w:val="78909c"/>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1a2332"/>
    </w:rPr>
  </w:style>
  <w:style w:type="paragraph" w:styleId="TOC2">
    <w:name w:val="toc 2"/>
    <w:basedOn w:val="Normal"/>
    <w:pPr>
      <w:tabs>
        <w:tab w:val="right" w:leader="dot" w:pos="9350"/>
      </w:tabs>
      <w:spacing w:before="60" w:after="60"/>
      <w:ind w:left="360" w:firstLine="0"/>
    </w:pPr>
    <w:rPr>
      <w:rFonts w:ascii="Calibri" w:hAnsi="Calibri" w:eastAsia="Microsoft YaHei"/>
      <w:color w:val="3d5266"/>
    </w:rPr>
  </w:style>
</w:styles>
</file>

<file path=word/_rels/document.xml.rels><?xml version='1.0' encoding='UTF-8'?>
<Relationships xmlns="http://schemas.openxmlformats.org/package/2006/relationships"><Relationship Type="http://schemas.openxmlformats.org/officeDocument/2006/relationships/styles" Target="styles.xml" Id="R294fd0b8f96e445c" /><Relationship Type="http://schemas.openxmlformats.org/officeDocument/2006/relationships/image" Target="media/image.png" Id="R0ef81e8767394472" /><Relationship Type="http://schemas.openxmlformats.org/officeDocument/2006/relationships/header" Target="header1.xml" Id="Rffc0e3bc2bc64c7a" /><Relationship Type="http://schemas.openxmlformats.org/officeDocument/2006/relationships/footer" Target="footer1.xml" Id="R72e034f658f7479e" /><Relationship Type="http://schemas.openxmlformats.org/officeDocument/2006/relationships/settings" Target="settings.xml" Id="R61c2afeca17a4ef1" /></Relationships>
</file>