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474ec0f368949b4" /></Relationships>
</file>

<file path=word/document.xml><?xml version="1.0" encoding="utf-8"?>
<w:document xmlns:w="http://schemas.openxmlformats.org/wordprocessingml/2006/main">
  <w:body>
    <w:p>
      <w:pPr>
        <w:jc w:val="center"/>
        <w:spacing w:before="400" w:after="400"/>
      </w:pPr>
      <w:r>
        <w:rPr>
          <w:b/>
          <w:sz w:val="48"/>
          <w:rFonts w:ascii="Calibri" w:hAnsi="Calibri" w:eastAsia="Microsoft YaHei"/>
          <w:color w:val="2d3a4a"/>
        </w:rPr>
        <w:t>IEEE S&amp;P 2026 Agent安全论文</w:t>
      </w:r>
    </w:p>
    <w:p>
      <w:pPr>
        <w:jc w:val="center"/>
        <w:spacing w:after="600"/>
      </w:pPr>
      <w:r>
        <w:rPr>
          <w:sz w:val="24"/>
          <w:rFonts w:ascii="Calibri" w:hAnsi="Calibri" w:eastAsia="Microsoft YaHei"/>
          <w:color w:val="78909c"/>
        </w:rPr>
        <w:t>共 2 篇论文</w:t>
      </w:r>
    </w:p>
    <w:p>
      <w:pPr>
        <w:pStyle w:val="Heading2"/>
      </w:pPr>
      <w:r>
        <w:t>论文 1: Agentic Concolic Execution</w:t>
      </w:r>
    </w:p>
    <w:tbl>
      <w:tblPr>
        <w:tblW w:w="5000" w:type="pct"/>
        <w:tblBorders>
          <w:top w:val="single" w:color="2d3a4a" w:sz="8"/>
          <w:bottom w:val="single" w:color="2d3a4a" w:sz="8"/>
          <w:left w:val="nil"/>
          <w:right w:val="nil"/>
          <w:insideH w:val="single" w:color="d0d8e0" w:sz="4"/>
          <w:insideV w:val="nil"/>
        </w:tblBorders>
      </w:tblPr>
      <w:tblGrid>
        <w:gridCol w:w="2000"/>
        <w:gridCol w:w="7000"/>
      </w:tblGrid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论文名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Agentic Concolic Execution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作者团队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Zhengxiong Luo, Huan Zhao, Dylan Wolff, Cristian Cadar, Abhik Roychoudhury (National University of Singapore, Imperial College London)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会议/年份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IEEE S&amp;P 2026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论文工作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提出Agentic Concolic Execution，利用LLM agent解决符号执行中的挑战。使用LLM agent进行符号化，语言无关，可处理环境约束。在12个真实主题上评估，代码覆盖率比KLEE高115%-233%，发现11个新漏洞。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>论文 2: Towards Automating Data Access Permissions in AI Agents</w:t>
      </w:r>
    </w:p>
    <w:tbl>
      <w:tblPr>
        <w:tblW w:w="5000" w:type="pct"/>
        <w:tblBorders>
          <w:top w:val="single" w:color="2d3a4a" w:sz="8"/>
          <w:bottom w:val="single" w:color="2d3a4a" w:sz="8"/>
          <w:left w:val="nil"/>
          <w:right w:val="nil"/>
          <w:insideH w:val="single" w:color="d0d8e0" w:sz="4"/>
          <w:insideV w:val="nil"/>
        </w:tblBorders>
      </w:tblPr>
      <w:tblGrid>
        <w:gridCol w:w="2000"/>
        <w:gridCol w:w="7000"/>
      </w:tblGrid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论文名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Towards Automating Data Access Permissions in AI Agents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作者团队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Yuhao Wu, Ke Yang, Franziska Roesner, Tadayoshi Kohno, Ning Zhang, Umar Iqbal (Washington University in St. Louis, UC Irvine, University of Washington, Georgetown University)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会议/年份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IEEE S&amp;P 2026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论文工作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提出AI agent的自动化权限管理系统。通过对205名用户的情景调查，了解用户在agentic系统中如何做出数据访问和共享的权限决策。提出权限预测模型的初步设计。</w:t>
            </w:r>
          </w:p>
        </w:tc>
      </w:tr>
    </w:tbl>
    <w:p>
      <w:pPr>
        <w:spacing w:before="200" w:after="200"/>
      </w:pP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320" w:lineRule="auto"/>
    </w:pPr>
    <w:rPr>
      <w:rFonts w:ascii="Calibri" w:hAnsi="Calibri" w:eastAsia="Microsoft YaHei"/>
      <w:sz w:val="21"/>
      <w:color w:val="1a2332"/>
    </w:rPr>
  </w:style>
  <w:style w:type="paragraph" w:styleId="Heading2">
    <w:name w:val="heading 2"/>
    <w:basedOn w:val="Normal"/>
    <w:pPr>
      <w:keepNext/>
      <w:keepLines/>
      <w:spacing w:before="400" w:after="200"/>
      <w:outlineLvl w:val="1"/>
    </w:pPr>
    <w:rPr>
      <w:b/>
      <w:sz w:val="28"/>
      <w:rFonts w:ascii="Calibri" w:hAnsi="Calibri" w:eastAsia="Microsoft YaHei"/>
      <w:color w:val="2d3a4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f90ecfe1d874fef" /></Relationships>
</file>