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d7cc034a0d4518" />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400"/>
      </w:pPr>
      <w:r>
        <w:rPr>
          <w:b/>
          <w:sz w:val="48"/>
          <w:rFonts w:ascii="Calibri" w:hAnsi="Calibri" w:eastAsia="Microsoft YaHei"/>
          <w:color w:val="2d3a4a"/>
        </w:rPr>
        <w:t>NDSS 2025 Agent安全论文</w:t>
      </w:r>
    </w:p>
    <w:p>
      <w:pPr>
        <w:jc w:val="center"/>
        <w:spacing w:after="600"/>
      </w:pPr>
      <w:r>
        <w:rPr>
          <w:sz w:val="24"/>
          <w:rFonts w:ascii="Calibri" w:hAnsi="Calibri" w:eastAsia="Microsoft YaHei"/>
          <w:color w:val="78909c"/>
        </w:rPr>
        <w:t>共 1 篇论文</w:t>
      </w:r>
    </w:p>
    <w:p>
      <w:pPr>
        <w:pStyle w:val="Heading2"/>
      </w:pPr>
      <w:r>
        <w:t>论文 1: IsolateGPT: An Execution Isolation Architecture for LLM-Based Agentic Systems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IsolateGPT: An Execution Isolation Architecture for LLM-Based Agentic Systems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Yuhao Wu, Franziska Roesner, Tadayoshi Kohno, Ning Zhang, Umar Iqbal (Washington University in St. Louis, University of Washington)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提出IsolateGPT，首个为基于LLM的Agentic系统设计的执行隔离架构。在仅产生不到30%性能开销的情况下，有效保护了系统的安全性和隐私性。</w:t>
            </w:r>
          </w:p>
        </w:tc>
      </w:tr>
    </w:tbl>
    <w:p>
      <w:pPr>
        <w:spacing w:before="200" w:after="200"/>
      </w:pP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20" w:lineRule="auto"/>
    </w:pPr>
    <w:rPr>
      <w:rFonts w:ascii="Calibri" w:hAnsi="Calibri" w:eastAsia="Microsoft YaHei"/>
      <w:sz w:val="21"/>
      <w:color w:val="1a2332"/>
    </w:rPr>
  </w:style>
  <w:style w:type="paragraph" w:styleId="Heading2">
    <w:name w:val="heading 2"/>
    <w:basedOn w:val="Normal"/>
    <w:pPr>
      <w:keepNext/>
      <w:keepLines/>
      <w:spacing w:before="400" w:after="200"/>
      <w:outlineLvl w:val="1"/>
    </w:pPr>
    <w:rPr>
      <w:b/>
      <w:sz w:val="28"/>
      <w:rFonts w:ascii="Calibri" w:hAnsi="Calibri" w:eastAsia="Microsoft YaHei"/>
      <w:color w:val="2d3a4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116692d654b4146" /></Relationships>
</file>