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5c7586ff574086" /></Relationships>
</file>

<file path=word/document.xml><?xml version="1.0" encoding="utf-8"?>
<w:document xmlns:w="http://schemas.openxmlformats.org/wordprocessingml/2006/main">
  <w:body>
    <w:p>
      <w:pPr>
        <w:jc w:val="center"/>
        <w:spacing w:before="400" w:after="400"/>
      </w:pPr>
      <w:r>
        <w:rPr>
          <w:b/>
          <w:sz w:val="48"/>
          <w:rFonts w:ascii="Calibri" w:hAnsi="Calibri" w:eastAsia="Microsoft YaHei"/>
          <w:color w:val="2d3a4a"/>
        </w:rPr>
        <w:t>NDSS 2026 Agent安全论文</w:t>
      </w:r>
    </w:p>
    <w:p>
      <w:pPr>
        <w:jc w:val="center"/>
        <w:spacing w:after="600"/>
      </w:pPr>
      <w:r>
        <w:rPr>
          <w:sz w:val="24"/>
          <w:rFonts w:ascii="Calibri" w:hAnsi="Calibri" w:eastAsia="Microsoft YaHei"/>
          <w:color w:val="78909c"/>
        </w:rPr>
        <w:t>共 9 篇论文</w:t>
      </w:r>
    </w:p>
    <w:p>
      <w:pPr>
        <w:pStyle w:val="Heading2"/>
      </w:pPr>
      <w:r>
        <w:t>论文 1: Chimera: Harnessing Multi-Agent LLMs for Automatic Insider Threat Simulation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Chimera: Harnessing Multi-Agent LLMs for Automatic Insider Threat Simulation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Jiongchi Yu, Xiaofei Xie, Qiang Hu, Yuhan Ma, Ziming Zhao (Singapore Management University, Tianjin University, Zhejiang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提出Chimera框架，利用多Agent LLM系统自动模拟企业内部人员的正常和恶意行为，生成逼真的系统日志数据。基于从真实事件中抽象出的15种内部攻击类型，构建了ChimeraLog数据集。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2: Attention is All You Need to Defend Against Indirect Prompt Injection Attacks in LLMs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Attention is All You Need to Defend Against Indirect Prompt Injection Attacks in LLMs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Yinan Zhong, Qianhao Miao, Yanjiao Chen, Jiangyi Deng, Yushi Cheng, Wenyuan Xu (Zhejiang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提出Rennervate，利用注意力特征在细粒度token级别检测间接提示注入攻击。在5个LLM和6个数据集上评估，优于15种商业和学术IPI防御方法。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3: Beyond Jailbreak: Unveiling Risks in LLM Applications Arising from Blurred Capability Boundaries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Beyond Jailbreak: Unveiling Risks in LLM Applications Arising from Blurred Capability Boundaries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Yunyi Zhang, Shibo Cui, Baojun Liu, Jingkai Yu, Min Zhang, Fan Shi, Han Zheng (Tsinghua University, National University of Defense Technology, TrustAI Pte. Ltd.)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发现LLM应用生态系统中由于能力边界模糊带来的新风险（能力降级和升级）。在199个流行应用中，178个（89.45%）可能受影响，17个应用可直接执行恶意任务。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4: Cache Me, Catch You: Cache Related Security Threats in LLM Serving Frameworks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Cache Me, Catch You: Cache Related Security Threats in LLM Serving Frameworks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XiangFan Wu, Lingyun Ying, Guoqiang Chen, Yacong Gu, Haipeng Qu (Ocean University of China, QI-ANXIN Technology Research Institute, Tsinghua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首次全面调查LLM推理时的缓存相关安全风险。识别了6种新型攻击向量，包括用户导向的欺诈攻击和系统完整性攻击。已向vLLM、SGLang、GPTCache等厂商披露漏洞。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5: FirmAgent: Leveraging Fuzzing to Assist LLM Agents with IoT Firmware Vulnerability Discovery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FirmAgent: Leveraging Fuzzing to Assist LLM Agents with IoT Firmware Vulnerability Discovery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Jiangan Ji, Chao Zhang, Shuitao Gan, Lin Jian, Hangtian Liu, Tieming Liu, Lei Zheng, Zhipeng Jia (Information Engineering University, Tsinghua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提出FirmAgent，首个利用fuzzing辅助LLM agent发现IoT固件漏洞的混合解决方案。在14个真实IoT固件中发现182个漏洞，精度91%，包括140个此前未知的漏洞，17个已分配CVE编号。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6: Les Dissonances: Cross-Tool Harvesting and Polluting in Pool-of-Tools Empowered LLM Agents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Les Dissonances: Cross-Tool Harvesting and Polluting in Pool-of-Tools Empowered LLM Agents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Zichuan Li, Jian Cui, Xiaojing Liao, Luyi Xing (University of Illinois Urbana-Champaign)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首次系统分析多工具LLM agent中的任务控制流安全。识别了XTHP（跨工具收集和污染）新威胁。评估LangChain和Llama-Index的66个真实工具，发现75%存在XTHP漏洞。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7: ObliInjection: Order-Oblivious Prompt Injection Attack to LLM Agents with Multi-source Data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ObliInjection: Order-Oblivious Prompt Injection Attack to LLM Agents with Multi-source Data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Reachal Wang, Yuqi Jia, Neil Zhenqiang Gong (Duke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提出ObliInjection，首个针对多源输入数据LLM应用的提示注入攻击。引入顺序无关损失和orderGCG算法，在12个LLM上评估，即使只污染1/6到1/100的输入段也高度有效。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8: Prompt Injection Attack to Tool Selection in LLM Agents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Prompt Injection Attack to Tool Selection in LLM Agents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Jiawen Shi, Zenghui Yuan, Guiyao Tie, Pan Zhou, Neil Zhenqiang Gong, Lichao Sun (Huazhong University of Science and Technology, Duke University, Lehigh University)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提出ToolHijacker，一种针对LLM agent工具选择的新型提示注入攻击。通过向工具库注入恶意工具文档来操控工具选择过程。现有防御措施（StruQ、SecAlign等）均不足。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>论文 9: When Cache Poisoning Meets LLM Systems: Semantic Cache Poisoning and Its Countermeasures</w:t>
      </w:r>
    </w:p>
    <w:tbl>
      <w:tblPr>
        <w:tblW w:w="5000" w:type="pct"/>
        <w:tblBorders>
          <w:top w:val="single" w:color="2d3a4a" w:sz="8"/>
          <w:bottom w:val="single" w:color="2d3a4a" w:sz="8"/>
          <w:left w:val="nil"/>
          <w:right w:val="nil"/>
          <w:insideH w:val="single" w:color="d0d8e0" w:sz="4"/>
          <w:insideV w:val="nil"/>
        </w:tblBorders>
      </w:tblPr>
      <w:tblGrid>
        <w:gridCol w:w="2000"/>
        <w:gridCol w:w="7000"/>
      </w:tblGrid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论文名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When Cache Poisoning Meets LLM Systems: Semantic Cache Poisoning and Its Countermeasures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作者团队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Guanlong Wu, Taojie Wang, Yao Zhang, Zheng Zhang, Jianyu Niu, Ye Wu, Yinqian Zhang (SUSTech, ByteDance Inc.)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会议/年份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NDSS 2026</w:t>
            </w:r>
          </w:p>
        </w:tc>
      </w:tr>
      <w:tr>
        <w:tc>
          <w:tcPr>
            <w:tcW w:w="2000" w:type="dxa"/>
            <w:shd w:val="clear" w:fill="e8eef3"/>
          </w:tcPr>
          <w:p>
            <w:pPr>
              <w:spacing w:before="60" w:after="60"/>
            </w:pPr>
            <w:r>
              <w:rPr>
                <w:b/>
                <w:sz w:val="20"/>
                <w:color w:val="1a2332"/>
                <w:rFonts w:ascii="Calibri" w:hAnsi="Calibri" w:eastAsia="Microsoft YaHei"/>
              </w:rPr>
              <w:t>论文工作</w:t>
            </w:r>
          </w:p>
        </w:tc>
        <w:tc>
          <w:tcPr>
            <w:tcW w:w="7000" w:type="dxa"/>
          </w:tcPr>
          <w:p>
            <w:pPr>
              <w:spacing w:before="60" w:after="60"/>
            </w:pPr>
            <w:r>
              <w:rPr>
                <w:sz w:val="20"/>
                <w:color w:val="3d5266"/>
                <w:rFonts w:ascii="Calibri" w:hAnsi="Calibri" w:eastAsia="Microsoft YaHei"/>
              </w:rPr>
              <w:t>首次展示语义缓存易受缓存中毒攻击。在三大公有云（Azure、AWS、阿里云）上确认攻击可行性。现有对抗性提示防御无效，提出新的防御机制。</w:t>
            </w:r>
          </w:p>
        </w:tc>
      </w:tr>
    </w:tbl>
    <w:p>
      <w:pPr>
        <w:spacing w:before="200" w:after="200"/>
      </w:pP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20" w:lineRule="auto"/>
    </w:pPr>
    <w:rPr>
      <w:rFonts w:ascii="Calibri" w:hAnsi="Calibri" w:eastAsia="Microsoft YaHei"/>
      <w:sz w:val="21"/>
      <w:color w:val="1a2332"/>
    </w:rPr>
  </w:style>
  <w:style w:type="paragraph" w:styleId="Heading2">
    <w:name w:val="heading 2"/>
    <w:basedOn w:val="Normal"/>
    <w:pPr>
      <w:keepNext/>
      <w:keepLines/>
      <w:spacing w:before="400" w:after="200"/>
      <w:outlineLvl w:val="1"/>
    </w:pPr>
    <w:rPr>
      <w:b/>
      <w:sz w:val="28"/>
      <w:rFonts w:ascii="Calibri" w:hAnsi="Calibri" w:eastAsia="Microsoft YaHei"/>
      <w:color w:val="2d3a4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0f4ad4ebb574ad8" /></Relationships>
</file>