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7fd9856671942e9" /></Relationships>
</file>

<file path=word/document.xml><?xml version="1.0" encoding="utf-8"?>
<w:document xmlns:w="http://schemas.openxmlformats.org/wordprocessingml/2006/main">
  <w:body>
    <w:p>
      <w:pPr>
        <w:jc w:val="center"/>
        <w:spacing w:before="400" w:after="400"/>
      </w:pPr>
      <w:r>
        <w:rPr>
          <w:b/>
          <w:sz w:val="48"/>
          <w:rFonts w:ascii="Calibri" w:hAnsi="Calibri" w:eastAsia="Microsoft YaHei"/>
          <w:color w:val="2d3a4a"/>
        </w:rPr>
        <w:t>USENIX Security 2025 Agent安全论文</w:t>
      </w:r>
    </w:p>
    <w:p>
      <w:pPr>
        <w:jc w:val="center"/>
        <w:spacing w:after="600"/>
      </w:pPr>
      <w:r>
        <w:rPr>
          <w:sz w:val="24"/>
          <w:rFonts w:ascii="Calibri" w:hAnsi="Calibri" w:eastAsia="Microsoft YaHei"/>
          <w:color w:val="78909c"/>
        </w:rPr>
        <w:t>共 6 篇论文</w:t>
      </w:r>
    </w:p>
    <w:p>
      <w:pPr>
        <w:pStyle w:val="Heading2"/>
      </w:pPr>
      <w:r>
        <w:t>论文 1: When LLMs Go Online: The Emerging Threat of Web-Enabled LLMs</w:t>
      </w:r>
    </w:p>
    <w:tbl>
      <w:tblPr>
        <w:tblW w:w="5000" w:type="pct"/>
        <w:tblBorders>
          <w:top w:val="single" w:color="2d3a4a" w:sz="8"/>
          <w:bottom w:val="single" w:color="2d3a4a" w:sz="8"/>
          <w:left w:val="nil"/>
          <w:right w:val="nil"/>
          <w:insideH w:val="single" w:color="d0d8e0" w:sz="4"/>
          <w:insideV w:val="nil"/>
        </w:tblBorders>
      </w:tblPr>
      <w:tblGrid>
        <w:gridCol w:w="2000"/>
        <w:gridCol w:w="7000"/>
      </w:tblGrid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论文名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When LLMs Go Online: The Emerging Threat of Web-Enabled LLMs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作者团队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Hanna Kim, Minkyoo Song, Seung Ho Na, Seungwon Shin, Kimin Lee (KAIST)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会议/年份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USENIX Security 2025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论文工作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研究LLM agent在网络攻击中的风险，包括PII收集、冒充帖子生成和钓鱼邮件创建。实验表明LLM agent在PII收集中达到95.9%的精度，生成93.9%被认为真实的冒充帖子，并将钓鱼邮件点击率提升46.67%。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>论文 2: Make Agent Defeat Agent: Automatic Detection of Taint-Style Vulnerabilities in LLM-based Agents</w:t>
      </w:r>
    </w:p>
    <w:tbl>
      <w:tblPr>
        <w:tblW w:w="5000" w:type="pct"/>
        <w:tblBorders>
          <w:top w:val="single" w:color="2d3a4a" w:sz="8"/>
          <w:bottom w:val="single" w:color="2d3a4a" w:sz="8"/>
          <w:left w:val="nil"/>
          <w:right w:val="nil"/>
          <w:insideH w:val="single" w:color="d0d8e0" w:sz="4"/>
          <w:insideV w:val="nil"/>
        </w:tblBorders>
      </w:tblPr>
      <w:tblGrid>
        <w:gridCol w:w="2000"/>
        <w:gridCol w:w="7000"/>
      </w:tblGrid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论文名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Make Agent Defeat Agent: Automatic Detection of Taint-Style Vulnerabilities in LLM-based Agents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作者团队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Fengyu Liu, Yuan Zhang, Jiaqi Luo, Jiarun Dai, Tian Chen, Letian Yuan, Zhengmin Yu, Youkun Shi, Ke Li, Chengyuan Zhou, Hao Chen, Min Yang (Fudan University, UC Davis)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会议/年份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USENIX Security 2025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论文工作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提出AgentFuzz，首个用于检测LLM-based agent中taint-style漏洞的fuzzing框架。在20个广泛使用的开源agent应用中发现了34个高风险0-day漏洞，精度达到SOTA方法的33倍。已分配23个CVE ID。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>论文 3: TracLLM: A Generic Framework for Attributing Long Context LLMs</w:t>
      </w:r>
    </w:p>
    <w:tbl>
      <w:tblPr>
        <w:tblW w:w="5000" w:type="pct"/>
        <w:tblBorders>
          <w:top w:val="single" w:color="2d3a4a" w:sz="8"/>
          <w:bottom w:val="single" w:color="2d3a4a" w:sz="8"/>
          <w:left w:val="nil"/>
          <w:right w:val="nil"/>
          <w:insideH w:val="single" w:color="d0d8e0" w:sz="4"/>
          <w:insideV w:val="nil"/>
        </w:tblBorders>
      </w:tblPr>
      <w:tblGrid>
        <w:gridCol w:w="2000"/>
        <w:gridCol w:w="7000"/>
      </w:tblGrid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论文名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TracLLM: A Generic Framework for Attributing Long Context LLMs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作者团队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Yanting Wang, Wei Zou, Runpeng Geng, Jinyuan Jia (The Pennsylvania State University)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会议/年份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USENIX Security 2025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论文工作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提出TracLLM，首个针对长上下文LLM的通用上下文追溯框架。该框架可用于调试LLM系统、进行攻击后取证分析以及高亮知识来源以增强用户对LLM输出的信任。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>论文 4: Unsafe LLM-Based Search: Quantitative Analysis and Mitigation of Safety Risks in AI Web Search</w:t>
      </w:r>
    </w:p>
    <w:tbl>
      <w:tblPr>
        <w:tblW w:w="5000" w:type="pct"/>
        <w:tblBorders>
          <w:top w:val="single" w:color="2d3a4a" w:sz="8"/>
          <w:bottom w:val="single" w:color="2d3a4a" w:sz="8"/>
          <w:left w:val="nil"/>
          <w:right w:val="nil"/>
          <w:insideH w:val="single" w:color="d0d8e0" w:sz="4"/>
          <w:insideV w:val="nil"/>
        </w:tblBorders>
      </w:tblPr>
      <w:tblGrid>
        <w:gridCol w:w="2000"/>
        <w:gridCol w:w="7000"/>
      </w:tblGrid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论文名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Unsafe LLM-Based Search: Quantitative Analysis and Mitigation of Safety Risks in AI Web Search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作者团队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Zeren Luo, Zifan Peng, Yule Liu, Zhen Sun, Mingchen Li, Jingyi Zheng, Xinlei He (HKUST (Guangzhou))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会议/年份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USENIX Security 2025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论文工作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首次对7个生产级AI搜索引擎进行安全风险评估。发现AI搜索引擎即使在良性查询下也会频繁生成包含恶意URL的有害内容。提出基于agent的防御方案，可有效降低风险。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>论文 5: Cloak, Honey, Trap: Proactive Defenses Against LLM Agents</w:t>
      </w:r>
    </w:p>
    <w:tbl>
      <w:tblPr>
        <w:tblW w:w="5000" w:type="pct"/>
        <w:tblBorders>
          <w:top w:val="single" w:color="2d3a4a" w:sz="8"/>
          <w:bottom w:val="single" w:color="2d3a4a" w:sz="8"/>
          <w:left w:val="nil"/>
          <w:right w:val="nil"/>
          <w:insideH w:val="single" w:color="d0d8e0" w:sz="4"/>
          <w:insideV w:val="nil"/>
        </w:tblBorders>
      </w:tblPr>
      <w:tblGrid>
        <w:gridCol w:w="2000"/>
        <w:gridCol w:w="7000"/>
      </w:tblGrid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论文名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Cloak, Honey, Trap: Proactive Defenses Against LLM Agents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作者团队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Daniel Ayzenshteyn, Roy Weiss, Yisroel Mirsky (Ben Gurion University of the Negev)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会议/年份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USENIX Security 2025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论文工作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提出使用欺骗和反击来防御恶意LLM agent的框架。引入6种策略和15种技术，在黑盒假设下保护11种不同的CTF机器，成功率100%。开源工具CHeaT可自动在网络资产中插入陷阱、伪装和蜜标。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>论文 6: Big Help or Big Brother? Auditing Tracking, Profiling, and Personalization in Generative AI Assistants</w:t>
      </w:r>
    </w:p>
    <w:tbl>
      <w:tblPr>
        <w:tblW w:w="5000" w:type="pct"/>
        <w:tblBorders>
          <w:top w:val="single" w:color="2d3a4a" w:sz="8"/>
          <w:bottom w:val="single" w:color="2d3a4a" w:sz="8"/>
          <w:left w:val="nil"/>
          <w:right w:val="nil"/>
          <w:insideH w:val="single" w:color="d0d8e0" w:sz="4"/>
          <w:insideV w:val="nil"/>
        </w:tblBorders>
      </w:tblPr>
      <w:tblGrid>
        <w:gridCol w:w="2000"/>
        <w:gridCol w:w="7000"/>
      </w:tblGrid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论文名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Big Help or Big Brother? Auditing Tracking, Profiling, and Personalization in Generative AI Assistants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作者团队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Yash Vekaria, Aurelio Loris Canino, Jonathan Levitsky, Alex Ciechonski, Patricia Callejo, Anna Maria Mandalari, Zubair Shafiq (UC Davis, UNIRC, UCL, UC3M)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会议/年份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USENIX Security 2025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论文工作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审计9个GenAI浏览器助手，发现它们通常依赖服务器端API而非本地模型，可自动调用而无需显式用户交互。它们收集并共享完整网页内容，包括HTML DOM和用户表单输入，甚至推断用户属性用于画像和个性化。</w:t>
            </w:r>
          </w:p>
        </w:tc>
      </w:tr>
    </w:tbl>
    <w:p>
      <w:pPr>
        <w:spacing w:before="200" w:after="200"/>
      </w:pP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320" w:lineRule="auto"/>
    </w:pPr>
    <w:rPr>
      <w:rFonts w:ascii="Calibri" w:hAnsi="Calibri" w:eastAsia="Microsoft YaHei"/>
      <w:sz w:val="21"/>
      <w:color w:val="1a2332"/>
    </w:rPr>
  </w:style>
  <w:style w:type="paragraph" w:styleId="Heading2">
    <w:name w:val="heading 2"/>
    <w:basedOn w:val="Normal"/>
    <w:pPr>
      <w:keepNext/>
      <w:keepLines/>
      <w:spacing w:before="400" w:after="200"/>
      <w:outlineLvl w:val="1"/>
    </w:pPr>
    <w:rPr>
      <w:b/>
      <w:sz w:val="28"/>
      <w:rFonts w:ascii="Calibri" w:hAnsi="Calibri" w:eastAsia="Microsoft YaHei"/>
      <w:color w:val="2d3a4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fd28fe2ffe74562" /></Relationships>
</file>