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16B" w:rsidRPr="00ED27FE" w:rsidRDefault="0056016B" w:rsidP="0056016B">
      <w:pPr>
        <w:ind w:right="-567"/>
        <w:rPr>
          <w:rFonts w:asciiTheme="minorHAnsi" w:hAnsiTheme="minorHAnsi" w:cstheme="majorBidi"/>
          <w:bCs/>
          <w:position w:val="-6"/>
          <w:sz w:val="24"/>
          <w:szCs w:val="24"/>
        </w:rPr>
      </w:pPr>
      <w:r w:rsidRPr="00ED27FE">
        <w:rPr>
          <w:rFonts w:asciiTheme="minorHAnsi" w:hAnsiTheme="minorHAnsi" w:cstheme="majorBidi"/>
          <w:bCs/>
          <w:position w:val="-6"/>
          <w:sz w:val="24"/>
          <w:szCs w:val="24"/>
        </w:rPr>
        <w:t>CHU DE BLIDA</w:t>
      </w:r>
    </w:p>
    <w:p w:rsidR="0056016B" w:rsidRPr="00ED27FE" w:rsidRDefault="0056016B" w:rsidP="0056016B">
      <w:pPr>
        <w:ind w:right="-567"/>
        <w:rPr>
          <w:rFonts w:asciiTheme="minorHAnsi" w:hAnsiTheme="minorHAnsi" w:cstheme="majorBidi"/>
          <w:bCs/>
          <w:position w:val="-6"/>
          <w:sz w:val="24"/>
          <w:szCs w:val="24"/>
        </w:rPr>
      </w:pPr>
      <w:r w:rsidRPr="00ED27FE">
        <w:rPr>
          <w:rFonts w:asciiTheme="minorHAnsi" w:hAnsiTheme="minorHAnsi" w:cstheme="majorBidi"/>
          <w:bCs/>
          <w:position w:val="-6"/>
          <w:sz w:val="24"/>
          <w:szCs w:val="24"/>
        </w:rPr>
        <w:t>Service d’épidémiologie</w:t>
      </w:r>
    </w:p>
    <w:p w:rsidR="0056016B" w:rsidRPr="00ED27FE" w:rsidRDefault="0056016B" w:rsidP="0056016B">
      <w:pPr>
        <w:ind w:right="-567"/>
        <w:rPr>
          <w:rFonts w:asciiTheme="minorHAnsi" w:hAnsiTheme="minorHAnsi" w:cstheme="majorBidi"/>
          <w:bCs/>
          <w:position w:val="-6"/>
          <w:sz w:val="24"/>
          <w:szCs w:val="24"/>
        </w:rPr>
      </w:pPr>
      <w:r w:rsidRPr="00ED27FE">
        <w:rPr>
          <w:rFonts w:asciiTheme="minorHAnsi" w:hAnsiTheme="minorHAnsi" w:cstheme="majorBidi"/>
          <w:bCs/>
          <w:position w:val="-6"/>
          <w:sz w:val="24"/>
          <w:szCs w:val="24"/>
        </w:rPr>
        <w:t>Et de médecine préventive</w:t>
      </w:r>
    </w:p>
    <w:p w:rsidR="00573A34" w:rsidRPr="00ED27FE" w:rsidRDefault="00573A34" w:rsidP="0056016B">
      <w:pPr>
        <w:rPr>
          <w:rFonts w:asciiTheme="minorHAnsi" w:hAnsiTheme="minorHAnsi" w:cstheme="majorBidi"/>
          <w:bCs/>
          <w:position w:val="-6"/>
          <w:sz w:val="24"/>
          <w:szCs w:val="24"/>
        </w:rPr>
      </w:pPr>
      <w:r w:rsidRPr="00ED27FE">
        <w:rPr>
          <w:rFonts w:asciiTheme="minorHAnsi" w:hAnsiTheme="minorHAnsi" w:cstheme="majorBidi"/>
          <w:bCs/>
          <w:position w:val="-6"/>
          <w:sz w:val="24"/>
          <w:szCs w:val="24"/>
        </w:rPr>
        <w:t>(SEMEP)</w:t>
      </w:r>
    </w:p>
    <w:p w:rsidR="00036D26" w:rsidRPr="00ED27FE" w:rsidRDefault="00036D26" w:rsidP="000673D8">
      <w:pPr>
        <w:jc w:val="right"/>
        <w:outlineLvl w:val="0"/>
        <w:rPr>
          <w:rFonts w:asciiTheme="minorHAnsi" w:hAnsiTheme="minorHAnsi" w:cstheme="majorBidi"/>
          <w:bCs/>
          <w:position w:val="-6"/>
          <w:sz w:val="24"/>
          <w:szCs w:val="24"/>
        </w:rPr>
      </w:pPr>
    </w:p>
    <w:p w:rsidR="00A676CE" w:rsidRPr="00ED27FE" w:rsidRDefault="000A003B" w:rsidP="00D00706">
      <w:pPr>
        <w:jc w:val="right"/>
        <w:outlineLvl w:val="0"/>
        <w:rPr>
          <w:rFonts w:asciiTheme="minorHAnsi" w:hAnsiTheme="minorHAnsi" w:cstheme="majorBidi"/>
          <w:bCs/>
          <w:position w:val="-6"/>
          <w:sz w:val="24"/>
          <w:szCs w:val="24"/>
        </w:rPr>
      </w:pPr>
      <w:r w:rsidRPr="00ED27FE">
        <w:rPr>
          <w:rFonts w:asciiTheme="minorHAnsi" w:hAnsiTheme="minorHAnsi" w:cstheme="majorBidi"/>
          <w:bCs/>
          <w:position w:val="-6"/>
          <w:sz w:val="24"/>
          <w:szCs w:val="24"/>
        </w:rPr>
        <w:t>Blida</w:t>
      </w:r>
      <w:r w:rsidR="006E2CE2" w:rsidRPr="00ED27FE">
        <w:rPr>
          <w:rFonts w:asciiTheme="minorHAnsi" w:hAnsiTheme="minorHAnsi" w:cstheme="majorBidi"/>
          <w:bCs/>
          <w:position w:val="-6"/>
          <w:sz w:val="24"/>
          <w:szCs w:val="24"/>
        </w:rPr>
        <w:t xml:space="preserve">, </w:t>
      </w:r>
      <w:r w:rsidR="00627EF4">
        <w:rPr>
          <w:rFonts w:asciiTheme="minorHAnsi" w:hAnsiTheme="minorHAnsi" w:cstheme="majorBidi"/>
          <w:bCs/>
          <w:position w:val="-6"/>
          <w:sz w:val="24"/>
          <w:szCs w:val="24"/>
        </w:rPr>
        <w:t>avril</w:t>
      </w:r>
      <w:r w:rsidR="0094715C">
        <w:rPr>
          <w:rFonts w:asciiTheme="minorHAnsi" w:hAnsiTheme="minorHAnsi" w:cstheme="majorBidi"/>
          <w:bCs/>
          <w:position w:val="-6"/>
          <w:sz w:val="24"/>
          <w:szCs w:val="24"/>
        </w:rPr>
        <w:t xml:space="preserve"> </w:t>
      </w:r>
      <w:r w:rsidR="00D50BB4">
        <w:rPr>
          <w:rFonts w:asciiTheme="minorHAnsi" w:hAnsiTheme="minorHAnsi" w:cstheme="majorBidi"/>
          <w:bCs/>
          <w:position w:val="-6"/>
          <w:sz w:val="24"/>
          <w:szCs w:val="24"/>
        </w:rPr>
        <w:t>201</w:t>
      </w:r>
      <w:r w:rsidR="00D00706">
        <w:rPr>
          <w:rFonts w:asciiTheme="minorHAnsi" w:hAnsiTheme="minorHAnsi" w:cstheme="majorBidi"/>
          <w:bCs/>
          <w:position w:val="-6"/>
          <w:sz w:val="24"/>
          <w:szCs w:val="24"/>
        </w:rPr>
        <w:t>9</w:t>
      </w:r>
    </w:p>
    <w:p w:rsidR="00A676CE" w:rsidRPr="00036D26" w:rsidRDefault="00A676CE" w:rsidP="005A103C">
      <w:pPr>
        <w:rPr>
          <w:rFonts w:asciiTheme="minorHAnsi" w:hAnsiTheme="minorHAnsi" w:cstheme="majorBidi"/>
          <w:b/>
          <w:position w:val="-6"/>
          <w:sz w:val="24"/>
          <w:szCs w:val="24"/>
        </w:rPr>
      </w:pPr>
    </w:p>
    <w:p w:rsidR="00A676CE" w:rsidRPr="00ED27FE" w:rsidRDefault="00A676CE" w:rsidP="0050298D">
      <w:pPr>
        <w:jc w:val="center"/>
        <w:rPr>
          <w:rFonts w:asciiTheme="minorHAnsi" w:hAnsiTheme="minorHAnsi" w:cstheme="majorBidi"/>
          <w:b/>
          <w:position w:val="-6"/>
          <w:sz w:val="32"/>
          <w:szCs w:val="32"/>
        </w:rPr>
      </w:pPr>
      <w:r w:rsidRPr="00ED27FE">
        <w:rPr>
          <w:rFonts w:asciiTheme="minorHAnsi" w:hAnsiTheme="minorHAnsi" w:cstheme="majorBidi"/>
          <w:b/>
          <w:position w:val="-6"/>
          <w:sz w:val="32"/>
          <w:szCs w:val="32"/>
        </w:rPr>
        <w:t xml:space="preserve">La </w:t>
      </w:r>
      <w:r w:rsidR="002F5F70" w:rsidRPr="00ED27FE">
        <w:rPr>
          <w:rFonts w:asciiTheme="minorHAnsi" w:hAnsiTheme="minorHAnsi" w:cstheme="majorBidi"/>
          <w:b/>
          <w:position w:val="-6"/>
          <w:sz w:val="32"/>
          <w:szCs w:val="32"/>
        </w:rPr>
        <w:t>mortalité au</w:t>
      </w:r>
      <w:r w:rsidRPr="00ED27FE">
        <w:rPr>
          <w:rFonts w:asciiTheme="minorHAnsi" w:hAnsiTheme="minorHAnsi" w:cstheme="majorBidi"/>
          <w:b/>
          <w:position w:val="-6"/>
          <w:sz w:val="32"/>
          <w:szCs w:val="32"/>
        </w:rPr>
        <w:t xml:space="preserve"> CHU d</w:t>
      </w:r>
      <w:r w:rsidR="000A003B" w:rsidRPr="00ED27FE">
        <w:rPr>
          <w:rFonts w:asciiTheme="minorHAnsi" w:hAnsiTheme="minorHAnsi" w:cstheme="majorBidi"/>
          <w:b/>
          <w:position w:val="-6"/>
          <w:sz w:val="32"/>
          <w:szCs w:val="32"/>
        </w:rPr>
        <w:t>e Blida au cours de l’année 201</w:t>
      </w:r>
      <w:r w:rsidR="00D00706">
        <w:rPr>
          <w:rFonts w:asciiTheme="minorHAnsi" w:hAnsiTheme="minorHAnsi" w:cstheme="majorBidi"/>
          <w:b/>
          <w:position w:val="-6"/>
          <w:sz w:val="32"/>
          <w:szCs w:val="32"/>
        </w:rPr>
        <w:t>8</w:t>
      </w:r>
    </w:p>
    <w:p w:rsidR="00A676CE" w:rsidRPr="00ED27FE" w:rsidRDefault="00A676CE" w:rsidP="00A676CE">
      <w:pPr>
        <w:jc w:val="center"/>
        <w:rPr>
          <w:rFonts w:asciiTheme="minorHAnsi" w:hAnsiTheme="minorHAnsi" w:cstheme="majorBidi"/>
          <w:b/>
          <w:position w:val="-6"/>
          <w:sz w:val="32"/>
          <w:szCs w:val="32"/>
        </w:rPr>
      </w:pPr>
    </w:p>
    <w:p w:rsidR="00036D26" w:rsidRPr="00036D26" w:rsidRDefault="00036D26" w:rsidP="00A676CE">
      <w:pPr>
        <w:jc w:val="center"/>
        <w:rPr>
          <w:rFonts w:asciiTheme="minorHAnsi" w:hAnsiTheme="minorHAnsi" w:cstheme="majorBidi"/>
          <w:b/>
          <w:position w:val="-6"/>
          <w:sz w:val="24"/>
          <w:szCs w:val="24"/>
        </w:rPr>
      </w:pPr>
    </w:p>
    <w:p w:rsidR="00036D26" w:rsidRPr="00036D26" w:rsidRDefault="00036D26" w:rsidP="00A676CE">
      <w:pPr>
        <w:jc w:val="center"/>
        <w:rPr>
          <w:rFonts w:asciiTheme="minorHAnsi" w:hAnsiTheme="minorHAnsi" w:cstheme="majorBidi"/>
          <w:b/>
          <w:position w:val="-6"/>
          <w:sz w:val="24"/>
          <w:szCs w:val="24"/>
        </w:rPr>
      </w:pPr>
    </w:p>
    <w:p w:rsidR="00A676CE" w:rsidRPr="00036D26" w:rsidRDefault="00A676CE" w:rsidP="00A676CE">
      <w:pPr>
        <w:rPr>
          <w:rFonts w:asciiTheme="minorHAnsi" w:hAnsiTheme="minorHAnsi" w:cstheme="majorBidi"/>
          <w:b/>
          <w:position w:val="-6"/>
          <w:sz w:val="24"/>
          <w:szCs w:val="24"/>
        </w:rPr>
      </w:pPr>
    </w:p>
    <w:p w:rsidR="00A676CE" w:rsidRPr="00036D26" w:rsidRDefault="00A676CE" w:rsidP="00D92535">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Le SEMEP a mis en </w:t>
      </w:r>
      <w:r w:rsidR="006E2CE2" w:rsidRPr="00036D26">
        <w:rPr>
          <w:rFonts w:asciiTheme="minorHAnsi" w:hAnsiTheme="minorHAnsi" w:cstheme="majorBidi"/>
          <w:position w:val="-6"/>
          <w:sz w:val="24"/>
          <w:szCs w:val="24"/>
        </w:rPr>
        <w:t>place au</w:t>
      </w:r>
      <w:r w:rsidRPr="00036D26">
        <w:rPr>
          <w:rFonts w:asciiTheme="minorHAnsi" w:hAnsiTheme="minorHAnsi" w:cstheme="majorBidi"/>
          <w:position w:val="-6"/>
          <w:sz w:val="24"/>
          <w:szCs w:val="24"/>
        </w:rPr>
        <w:t xml:space="preserve"> CHU de Blida à partir du 1° novembre 1998 un système d’information sur la mortalité hospitalière. L’étude de la mortalité peut aider en matière de recherche, d’évaluation, de gestion et de la planification</w:t>
      </w:r>
      <w:r w:rsidR="004E1F35" w:rsidRPr="00036D26">
        <w:rPr>
          <w:rFonts w:asciiTheme="minorHAnsi" w:hAnsiTheme="minorHAnsi" w:cstheme="majorBidi"/>
          <w:position w:val="-6"/>
          <w:sz w:val="24"/>
          <w:szCs w:val="24"/>
        </w:rPr>
        <w:t xml:space="preserve"> sanitaire en termes des priorités</w:t>
      </w:r>
      <w:r w:rsidRPr="00036D26">
        <w:rPr>
          <w:rFonts w:asciiTheme="minorHAnsi" w:hAnsiTheme="minorHAnsi" w:cstheme="majorBidi"/>
          <w:position w:val="-6"/>
          <w:sz w:val="24"/>
          <w:szCs w:val="24"/>
        </w:rPr>
        <w:t>.</w:t>
      </w:r>
    </w:p>
    <w:p w:rsidR="006A2EFB" w:rsidRPr="00036D26" w:rsidRDefault="006A2EFB" w:rsidP="00A676CE">
      <w:pPr>
        <w:jc w:val="both"/>
        <w:rPr>
          <w:rFonts w:asciiTheme="minorHAnsi" w:hAnsiTheme="minorHAnsi" w:cstheme="majorBidi"/>
          <w:position w:val="-6"/>
          <w:sz w:val="24"/>
          <w:szCs w:val="24"/>
        </w:rPr>
      </w:pPr>
    </w:p>
    <w:p w:rsidR="00A676CE" w:rsidRPr="00036D26" w:rsidRDefault="00A676CE" w:rsidP="00D00706">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La période couverte par ce </w:t>
      </w:r>
      <w:r w:rsidR="006E2CE2" w:rsidRPr="00036D26">
        <w:rPr>
          <w:rFonts w:asciiTheme="minorHAnsi" w:hAnsiTheme="minorHAnsi" w:cstheme="majorBidi"/>
          <w:position w:val="-6"/>
          <w:sz w:val="24"/>
          <w:szCs w:val="24"/>
        </w:rPr>
        <w:t>rapport concerne</w:t>
      </w:r>
      <w:r w:rsidRPr="00036D26">
        <w:rPr>
          <w:rFonts w:asciiTheme="minorHAnsi" w:hAnsiTheme="minorHAnsi" w:cstheme="majorBidi"/>
          <w:position w:val="-6"/>
          <w:sz w:val="24"/>
          <w:szCs w:val="24"/>
        </w:rPr>
        <w:t xml:space="preserve"> tous les décès survenus au CHU p</w:t>
      </w:r>
      <w:r w:rsidR="009B0856" w:rsidRPr="00036D26">
        <w:rPr>
          <w:rFonts w:asciiTheme="minorHAnsi" w:hAnsiTheme="minorHAnsi" w:cstheme="majorBidi"/>
          <w:position w:val="-6"/>
          <w:sz w:val="24"/>
          <w:szCs w:val="24"/>
        </w:rPr>
        <w:t>endant un an, du 1° janvier 201</w:t>
      </w:r>
      <w:r w:rsidR="00D00706">
        <w:rPr>
          <w:rFonts w:asciiTheme="minorHAnsi" w:hAnsiTheme="minorHAnsi" w:cstheme="majorBidi"/>
          <w:position w:val="-6"/>
          <w:sz w:val="24"/>
          <w:szCs w:val="24"/>
        </w:rPr>
        <w:t>8</w:t>
      </w:r>
      <w:r w:rsidR="004E1F35" w:rsidRPr="00036D26">
        <w:rPr>
          <w:rFonts w:asciiTheme="minorHAnsi" w:hAnsiTheme="minorHAnsi" w:cstheme="majorBidi"/>
          <w:position w:val="-6"/>
          <w:sz w:val="24"/>
          <w:szCs w:val="24"/>
        </w:rPr>
        <w:t xml:space="preserve"> au 31 décembre 201</w:t>
      </w:r>
      <w:r w:rsidR="00D00706">
        <w:rPr>
          <w:rFonts w:asciiTheme="minorHAnsi" w:hAnsiTheme="minorHAnsi" w:cstheme="majorBidi"/>
          <w:position w:val="-6"/>
          <w:sz w:val="24"/>
          <w:szCs w:val="24"/>
        </w:rPr>
        <w:t>8</w:t>
      </w:r>
      <w:r w:rsidR="00044D93" w:rsidRPr="00036D26">
        <w:rPr>
          <w:rFonts w:asciiTheme="minorHAnsi" w:hAnsiTheme="minorHAnsi" w:cstheme="majorBidi"/>
          <w:position w:val="-6"/>
          <w:sz w:val="24"/>
          <w:szCs w:val="24"/>
        </w:rPr>
        <w:t xml:space="preserve">. Au total, </w:t>
      </w:r>
      <w:r w:rsidR="00D00706">
        <w:rPr>
          <w:rFonts w:asciiTheme="minorHAnsi" w:hAnsiTheme="minorHAnsi" w:cstheme="majorBidi"/>
          <w:b/>
          <w:bCs/>
          <w:position w:val="-6"/>
          <w:sz w:val="24"/>
          <w:szCs w:val="24"/>
        </w:rPr>
        <w:t>1633</w:t>
      </w:r>
      <w:r w:rsidRPr="00D92535">
        <w:rPr>
          <w:rFonts w:asciiTheme="minorHAnsi" w:hAnsiTheme="minorHAnsi" w:cstheme="majorBidi"/>
          <w:b/>
          <w:bCs/>
          <w:position w:val="-6"/>
          <w:sz w:val="24"/>
          <w:szCs w:val="24"/>
        </w:rPr>
        <w:t xml:space="preserve"> décès</w:t>
      </w:r>
      <w:r w:rsidRPr="00036D26">
        <w:rPr>
          <w:rFonts w:asciiTheme="minorHAnsi" w:hAnsiTheme="minorHAnsi" w:cstheme="majorBidi"/>
          <w:position w:val="-6"/>
          <w:sz w:val="24"/>
          <w:szCs w:val="24"/>
        </w:rPr>
        <w:t xml:space="preserve"> ont été enregistrés.</w:t>
      </w:r>
    </w:p>
    <w:p w:rsidR="00A676CE" w:rsidRPr="001A381C" w:rsidRDefault="00A676CE" w:rsidP="00A676CE">
      <w:pPr>
        <w:jc w:val="both"/>
        <w:rPr>
          <w:rFonts w:asciiTheme="minorHAnsi" w:hAnsiTheme="minorHAnsi" w:cstheme="majorBidi"/>
          <w:position w:val="-6"/>
          <w:sz w:val="18"/>
          <w:szCs w:val="24"/>
        </w:rPr>
      </w:pPr>
    </w:p>
    <w:p w:rsidR="00A676CE" w:rsidRPr="00036D26" w:rsidRDefault="00A676CE" w:rsidP="00A676CE">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Tous les décès survenus au CHU </w:t>
      </w:r>
      <w:r w:rsidR="006E2CE2" w:rsidRPr="00036D26">
        <w:rPr>
          <w:rFonts w:asciiTheme="minorHAnsi" w:hAnsiTheme="minorHAnsi" w:cstheme="majorBidi"/>
          <w:position w:val="-6"/>
          <w:sz w:val="24"/>
          <w:szCs w:val="24"/>
        </w:rPr>
        <w:t>étaient recensés</w:t>
      </w:r>
      <w:r w:rsidRPr="00036D26">
        <w:rPr>
          <w:rFonts w:asciiTheme="minorHAnsi" w:hAnsiTheme="minorHAnsi" w:cstheme="majorBidi"/>
          <w:position w:val="-6"/>
          <w:sz w:val="24"/>
          <w:szCs w:val="24"/>
        </w:rPr>
        <w:t xml:space="preserve"> activement par les techniciens du SEMEP au niveau des différents services avec l’aide des bureaux des entrées</w:t>
      </w:r>
      <w:r w:rsidR="009B0856" w:rsidRPr="00036D26">
        <w:rPr>
          <w:rFonts w:asciiTheme="minorHAnsi" w:hAnsiTheme="minorHAnsi" w:cstheme="majorBidi"/>
          <w:position w:val="-6"/>
          <w:sz w:val="24"/>
          <w:szCs w:val="24"/>
        </w:rPr>
        <w:t xml:space="preserve"> des deux </w:t>
      </w:r>
      <w:r w:rsidRPr="00036D26">
        <w:rPr>
          <w:rFonts w:asciiTheme="minorHAnsi" w:hAnsiTheme="minorHAnsi" w:cstheme="majorBidi"/>
          <w:position w:val="-6"/>
          <w:sz w:val="24"/>
          <w:szCs w:val="24"/>
        </w:rPr>
        <w:t>unités du CHU.</w:t>
      </w:r>
    </w:p>
    <w:p w:rsidR="00A676CE" w:rsidRPr="00D92535" w:rsidRDefault="00A676CE" w:rsidP="00A676CE">
      <w:pPr>
        <w:jc w:val="both"/>
        <w:rPr>
          <w:rFonts w:asciiTheme="minorHAnsi" w:hAnsiTheme="minorHAnsi" w:cstheme="majorBidi"/>
          <w:position w:val="-6"/>
          <w:sz w:val="18"/>
          <w:szCs w:val="18"/>
        </w:rPr>
      </w:pPr>
    </w:p>
    <w:p w:rsidR="00A676CE" w:rsidRPr="00036D26" w:rsidRDefault="00A676CE" w:rsidP="00A676CE">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Les données recueillies activement par les techniciens du SEMEP concernaient le service, l’âge, le sexe, la durée de séjour (différence entre la date de décès et la date d’admission), la wilaya, la commune pour la wilaya de Blida, l’heure du décès</w:t>
      </w:r>
      <w:r w:rsidR="006E2CE2" w:rsidRPr="00036D26">
        <w:rPr>
          <w:rFonts w:asciiTheme="minorHAnsi" w:hAnsiTheme="minorHAnsi" w:cstheme="majorBidi"/>
          <w:position w:val="-6"/>
          <w:sz w:val="24"/>
          <w:szCs w:val="24"/>
        </w:rPr>
        <w:t>, la</w:t>
      </w:r>
      <w:r w:rsidRPr="00036D26">
        <w:rPr>
          <w:rFonts w:asciiTheme="minorHAnsi" w:hAnsiTheme="minorHAnsi" w:cstheme="majorBidi"/>
          <w:position w:val="-6"/>
          <w:sz w:val="24"/>
          <w:szCs w:val="24"/>
        </w:rPr>
        <w:t xml:space="preserve"> nature de la maladie causale ou de la lésion fatale en cas de mort violente et la cause extérieure d’un traumatisme </w:t>
      </w:r>
      <w:r w:rsidR="00F449B8">
        <w:rPr>
          <w:rFonts w:asciiTheme="minorHAnsi" w:hAnsiTheme="minorHAnsi" w:cstheme="majorBidi"/>
          <w:position w:val="-6"/>
          <w:sz w:val="24"/>
          <w:szCs w:val="24"/>
        </w:rPr>
        <w:t>ou d’un empoisonnement éventuel</w:t>
      </w:r>
      <w:r w:rsidRPr="00036D26">
        <w:rPr>
          <w:rFonts w:asciiTheme="minorHAnsi" w:hAnsiTheme="minorHAnsi" w:cstheme="majorBidi"/>
          <w:position w:val="-6"/>
          <w:sz w:val="24"/>
          <w:szCs w:val="24"/>
        </w:rPr>
        <w:t xml:space="preserve"> (nature de l’accident, du suicide ou de l’homicide). Il faut dire que L’information était généralement récoltée </w:t>
      </w:r>
      <w:r w:rsidR="006E2CE2" w:rsidRPr="00036D26">
        <w:rPr>
          <w:rFonts w:asciiTheme="minorHAnsi" w:hAnsiTheme="minorHAnsi" w:cstheme="majorBidi"/>
          <w:position w:val="-6"/>
          <w:sz w:val="24"/>
          <w:szCs w:val="24"/>
        </w:rPr>
        <w:t>avec</w:t>
      </w:r>
      <w:r w:rsidRPr="00036D26">
        <w:rPr>
          <w:rFonts w:asciiTheme="minorHAnsi" w:hAnsiTheme="minorHAnsi" w:cstheme="majorBidi"/>
          <w:position w:val="-6"/>
          <w:sz w:val="24"/>
          <w:szCs w:val="24"/>
        </w:rPr>
        <w:t xml:space="preserve"> parcimonie.</w:t>
      </w:r>
    </w:p>
    <w:p w:rsidR="00A676CE" w:rsidRPr="001A381C" w:rsidRDefault="00A676CE" w:rsidP="00A676CE">
      <w:pPr>
        <w:jc w:val="both"/>
        <w:rPr>
          <w:rFonts w:asciiTheme="minorHAnsi" w:hAnsiTheme="minorHAnsi" w:cstheme="majorBidi"/>
          <w:position w:val="-6"/>
          <w:sz w:val="12"/>
          <w:szCs w:val="16"/>
        </w:rPr>
      </w:pPr>
    </w:p>
    <w:p w:rsidR="00A676CE" w:rsidRPr="00036D26" w:rsidRDefault="00A676CE" w:rsidP="00F449B8">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La Classification Internationale des </w:t>
      </w:r>
      <w:r w:rsidR="004E1F35" w:rsidRPr="00036D26">
        <w:rPr>
          <w:rFonts w:asciiTheme="minorHAnsi" w:hAnsiTheme="minorHAnsi" w:cstheme="majorBidi"/>
          <w:position w:val="-6"/>
          <w:sz w:val="24"/>
          <w:szCs w:val="24"/>
        </w:rPr>
        <w:t>M</w:t>
      </w:r>
      <w:r w:rsidRPr="00036D26">
        <w:rPr>
          <w:rFonts w:asciiTheme="minorHAnsi" w:hAnsiTheme="minorHAnsi" w:cstheme="majorBidi"/>
          <w:position w:val="-6"/>
          <w:sz w:val="24"/>
          <w:szCs w:val="24"/>
        </w:rPr>
        <w:t xml:space="preserve">aladies (CIM-10) et ses règles de classement </w:t>
      </w:r>
      <w:r w:rsidR="00F449B8">
        <w:rPr>
          <w:rFonts w:asciiTheme="minorHAnsi" w:hAnsiTheme="minorHAnsi" w:cstheme="majorBidi"/>
          <w:position w:val="-6"/>
          <w:sz w:val="24"/>
          <w:szCs w:val="24"/>
        </w:rPr>
        <w:t>étaient</w:t>
      </w:r>
      <w:r w:rsidRPr="00036D26">
        <w:rPr>
          <w:rFonts w:asciiTheme="minorHAnsi" w:hAnsiTheme="minorHAnsi" w:cstheme="majorBidi"/>
          <w:position w:val="-6"/>
          <w:sz w:val="24"/>
          <w:szCs w:val="24"/>
        </w:rPr>
        <w:t xml:space="preserve"> utilisées pour coder la nature de la maladie causale ou de la lésion fatale ainsi que la cause extérieure d’un traumatisme ou d’un empoisonnement éventuel. </w:t>
      </w:r>
    </w:p>
    <w:p w:rsidR="00036D26" w:rsidRPr="001A381C" w:rsidRDefault="00036D26" w:rsidP="00CF6EB8">
      <w:pPr>
        <w:jc w:val="both"/>
        <w:rPr>
          <w:rFonts w:asciiTheme="minorHAnsi" w:hAnsiTheme="minorHAnsi" w:cstheme="majorBidi"/>
          <w:position w:val="-6"/>
          <w:sz w:val="10"/>
          <w:szCs w:val="14"/>
        </w:rPr>
      </w:pPr>
    </w:p>
    <w:p w:rsidR="009357FC" w:rsidRPr="00036D26" w:rsidRDefault="00A676CE" w:rsidP="00F449B8">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Les </w:t>
      </w:r>
      <w:r w:rsidR="006E2CE2" w:rsidRPr="00036D26">
        <w:rPr>
          <w:rFonts w:asciiTheme="minorHAnsi" w:hAnsiTheme="minorHAnsi" w:cstheme="majorBidi"/>
          <w:position w:val="-6"/>
          <w:sz w:val="24"/>
          <w:szCs w:val="24"/>
        </w:rPr>
        <w:t>opérations</w:t>
      </w:r>
      <w:r w:rsidRPr="00036D26">
        <w:rPr>
          <w:rFonts w:asciiTheme="minorHAnsi" w:hAnsiTheme="minorHAnsi" w:cstheme="majorBidi"/>
          <w:position w:val="-6"/>
          <w:sz w:val="24"/>
          <w:szCs w:val="24"/>
        </w:rPr>
        <w:t xml:space="preserve"> de saisie, de contrôle et d’analyse </w:t>
      </w:r>
      <w:r w:rsidR="00F449B8">
        <w:rPr>
          <w:rFonts w:asciiTheme="minorHAnsi" w:hAnsiTheme="minorHAnsi" w:cstheme="majorBidi"/>
          <w:position w:val="-6"/>
          <w:sz w:val="24"/>
          <w:szCs w:val="24"/>
        </w:rPr>
        <w:t>étaient</w:t>
      </w:r>
      <w:r w:rsidRPr="00036D26">
        <w:rPr>
          <w:rFonts w:asciiTheme="minorHAnsi" w:hAnsiTheme="minorHAnsi" w:cstheme="majorBidi"/>
          <w:position w:val="-6"/>
          <w:sz w:val="24"/>
          <w:szCs w:val="24"/>
        </w:rPr>
        <w:t xml:space="preserve"> effectuées par l’utilisation du logiciel E</w:t>
      </w:r>
      <w:r w:rsidR="00AD6E25" w:rsidRPr="00036D26">
        <w:rPr>
          <w:rFonts w:asciiTheme="minorHAnsi" w:hAnsiTheme="minorHAnsi" w:cstheme="majorBidi"/>
          <w:position w:val="-6"/>
          <w:sz w:val="24"/>
          <w:szCs w:val="24"/>
        </w:rPr>
        <w:t>pi-</w:t>
      </w:r>
      <w:r w:rsidR="00CF6EB8" w:rsidRPr="00036D26">
        <w:rPr>
          <w:rFonts w:asciiTheme="minorHAnsi" w:hAnsiTheme="minorHAnsi" w:cstheme="majorBidi"/>
          <w:position w:val="-6"/>
          <w:sz w:val="24"/>
          <w:szCs w:val="24"/>
        </w:rPr>
        <w:t>i</w:t>
      </w:r>
      <w:r w:rsidR="00AD6E25" w:rsidRPr="00036D26">
        <w:rPr>
          <w:rFonts w:asciiTheme="minorHAnsi" w:hAnsiTheme="minorHAnsi" w:cstheme="majorBidi"/>
          <w:position w:val="-6"/>
          <w:sz w:val="24"/>
          <w:szCs w:val="24"/>
        </w:rPr>
        <w:t xml:space="preserve">nfo dans sa sixième version et </w:t>
      </w:r>
      <w:r w:rsidR="00CF6EB8" w:rsidRPr="00036D26">
        <w:rPr>
          <w:rFonts w:asciiTheme="minorHAnsi" w:hAnsiTheme="minorHAnsi" w:cstheme="majorBidi"/>
          <w:position w:val="-6"/>
          <w:sz w:val="24"/>
          <w:szCs w:val="24"/>
        </w:rPr>
        <w:t>SPSS</w:t>
      </w:r>
      <w:r w:rsidR="00AD6E25" w:rsidRPr="00036D26">
        <w:rPr>
          <w:rFonts w:asciiTheme="minorHAnsi" w:hAnsiTheme="minorHAnsi" w:cstheme="majorBidi"/>
          <w:position w:val="-6"/>
          <w:sz w:val="24"/>
          <w:szCs w:val="24"/>
        </w:rPr>
        <w:t xml:space="preserve"> dans sa23em</w:t>
      </w:r>
      <w:r w:rsidR="00D50BB4">
        <w:rPr>
          <w:rFonts w:asciiTheme="minorHAnsi" w:hAnsiTheme="minorHAnsi" w:cstheme="majorBidi"/>
          <w:position w:val="-6"/>
          <w:sz w:val="24"/>
          <w:szCs w:val="24"/>
        </w:rPr>
        <w:t>e</w:t>
      </w:r>
      <w:r w:rsidR="00AD6E25" w:rsidRPr="00036D26">
        <w:rPr>
          <w:rFonts w:asciiTheme="minorHAnsi" w:hAnsiTheme="minorHAnsi" w:cstheme="majorBidi"/>
          <w:position w:val="-6"/>
          <w:sz w:val="24"/>
          <w:szCs w:val="24"/>
        </w:rPr>
        <w:t xml:space="preserve"> version</w:t>
      </w:r>
      <w:r w:rsidR="00CF6EB8" w:rsidRPr="00036D26">
        <w:rPr>
          <w:rFonts w:asciiTheme="minorHAnsi" w:hAnsiTheme="minorHAnsi" w:cstheme="majorBidi"/>
          <w:position w:val="-6"/>
          <w:sz w:val="24"/>
          <w:szCs w:val="24"/>
        </w:rPr>
        <w:t>.</w:t>
      </w:r>
    </w:p>
    <w:p w:rsidR="00AA3FD0" w:rsidRPr="00AA3FD0" w:rsidRDefault="00AA3FD0" w:rsidP="008D770D">
      <w:pPr>
        <w:jc w:val="both"/>
        <w:rPr>
          <w:rFonts w:asciiTheme="minorHAnsi" w:hAnsiTheme="minorHAnsi" w:cstheme="majorBidi"/>
          <w:position w:val="-6"/>
          <w:sz w:val="14"/>
          <w:szCs w:val="14"/>
        </w:rPr>
      </w:pPr>
    </w:p>
    <w:p w:rsidR="0007691B" w:rsidRPr="00036D26" w:rsidRDefault="00891730" w:rsidP="00E72151">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Du 1</w:t>
      </w:r>
      <w:r w:rsidRPr="00036D26">
        <w:rPr>
          <w:rFonts w:asciiTheme="minorHAnsi" w:hAnsiTheme="minorHAnsi" w:cstheme="majorBidi"/>
          <w:position w:val="-6"/>
          <w:sz w:val="24"/>
          <w:szCs w:val="24"/>
          <w:vertAlign w:val="superscript"/>
        </w:rPr>
        <w:t xml:space="preserve">er </w:t>
      </w:r>
      <w:r w:rsidRPr="00036D26">
        <w:rPr>
          <w:rFonts w:asciiTheme="minorHAnsi" w:hAnsiTheme="minorHAnsi" w:cstheme="majorBidi"/>
          <w:position w:val="-6"/>
          <w:sz w:val="24"/>
          <w:szCs w:val="24"/>
        </w:rPr>
        <w:t xml:space="preserve">janvier </w:t>
      </w:r>
      <w:r w:rsidR="006E2CE2" w:rsidRPr="00036D26">
        <w:rPr>
          <w:rFonts w:asciiTheme="minorHAnsi" w:hAnsiTheme="minorHAnsi" w:cstheme="majorBidi"/>
          <w:position w:val="-6"/>
          <w:sz w:val="24"/>
          <w:szCs w:val="24"/>
        </w:rPr>
        <w:t>au 31</w:t>
      </w:r>
      <w:r w:rsidR="009357FC" w:rsidRPr="00036D26">
        <w:rPr>
          <w:rFonts w:asciiTheme="minorHAnsi" w:hAnsiTheme="minorHAnsi" w:cstheme="majorBidi"/>
          <w:position w:val="-6"/>
          <w:sz w:val="24"/>
          <w:szCs w:val="24"/>
        </w:rPr>
        <w:t xml:space="preserve"> décembre 201</w:t>
      </w:r>
      <w:r w:rsidR="00B628EF">
        <w:rPr>
          <w:rFonts w:asciiTheme="minorHAnsi" w:hAnsiTheme="minorHAnsi" w:cstheme="majorBidi"/>
          <w:position w:val="-6"/>
          <w:sz w:val="24"/>
          <w:szCs w:val="24"/>
        </w:rPr>
        <w:t>8</w:t>
      </w:r>
      <w:r w:rsidR="009357FC" w:rsidRPr="00036D26">
        <w:rPr>
          <w:rFonts w:asciiTheme="minorHAnsi" w:hAnsiTheme="minorHAnsi" w:cstheme="majorBidi"/>
          <w:position w:val="-6"/>
          <w:sz w:val="24"/>
          <w:szCs w:val="24"/>
        </w:rPr>
        <w:t xml:space="preserve">, le nombre total des cas </w:t>
      </w:r>
      <w:r w:rsidR="006E2CE2" w:rsidRPr="00036D26">
        <w:rPr>
          <w:rFonts w:asciiTheme="minorHAnsi" w:hAnsiTheme="minorHAnsi" w:cstheme="majorBidi"/>
          <w:position w:val="-6"/>
          <w:sz w:val="24"/>
          <w:szCs w:val="24"/>
        </w:rPr>
        <w:t>de décès</w:t>
      </w:r>
      <w:r w:rsidR="009357FC" w:rsidRPr="00036D26">
        <w:rPr>
          <w:rFonts w:asciiTheme="minorHAnsi" w:hAnsiTheme="minorHAnsi" w:cstheme="majorBidi"/>
          <w:position w:val="-6"/>
          <w:sz w:val="24"/>
          <w:szCs w:val="24"/>
        </w:rPr>
        <w:t xml:space="preserve"> était </w:t>
      </w:r>
      <w:r w:rsidR="009357FC" w:rsidRPr="00B628EF">
        <w:rPr>
          <w:rFonts w:asciiTheme="minorHAnsi" w:hAnsiTheme="minorHAnsi" w:cstheme="majorBidi"/>
          <w:position w:val="-6"/>
          <w:sz w:val="24"/>
          <w:szCs w:val="24"/>
        </w:rPr>
        <w:t xml:space="preserve">de </w:t>
      </w:r>
      <w:r w:rsidR="00B628EF">
        <w:rPr>
          <w:rFonts w:asciiTheme="minorHAnsi" w:hAnsiTheme="minorHAnsi" w:cstheme="majorBidi"/>
          <w:b/>
          <w:bCs/>
          <w:position w:val="-6"/>
          <w:sz w:val="24"/>
          <w:szCs w:val="24"/>
          <w:u w:val="single"/>
        </w:rPr>
        <w:t xml:space="preserve">1633 </w:t>
      </w:r>
      <w:r w:rsidR="009357FC" w:rsidRPr="00D92535">
        <w:rPr>
          <w:rFonts w:asciiTheme="minorHAnsi" w:hAnsiTheme="minorHAnsi" w:cstheme="majorBidi"/>
          <w:b/>
          <w:bCs/>
          <w:position w:val="-6"/>
          <w:sz w:val="24"/>
          <w:szCs w:val="24"/>
          <w:u w:val="single"/>
        </w:rPr>
        <w:t>décès</w:t>
      </w:r>
      <w:r w:rsidR="009357FC" w:rsidRPr="00036D26">
        <w:rPr>
          <w:rFonts w:asciiTheme="minorHAnsi" w:hAnsiTheme="minorHAnsi" w:cstheme="majorBidi"/>
          <w:position w:val="-6"/>
          <w:sz w:val="24"/>
          <w:szCs w:val="24"/>
        </w:rPr>
        <w:t xml:space="preserve">. </w:t>
      </w:r>
      <w:r w:rsidR="00A676CE" w:rsidRPr="00036D26">
        <w:rPr>
          <w:rFonts w:asciiTheme="minorHAnsi" w:hAnsiTheme="minorHAnsi" w:cstheme="majorBidi"/>
          <w:position w:val="-6"/>
          <w:sz w:val="24"/>
          <w:szCs w:val="24"/>
        </w:rPr>
        <w:t>L’unité Frantz Fanon du CHU</w:t>
      </w:r>
      <w:r w:rsidR="00D71549" w:rsidRPr="00036D26">
        <w:rPr>
          <w:rFonts w:asciiTheme="minorHAnsi" w:hAnsiTheme="minorHAnsi" w:cstheme="majorBidi"/>
          <w:position w:val="-6"/>
          <w:sz w:val="24"/>
          <w:szCs w:val="24"/>
        </w:rPr>
        <w:t xml:space="preserve"> aenregistré</w:t>
      </w:r>
      <w:r w:rsidR="002E72CC">
        <w:rPr>
          <w:rFonts w:asciiTheme="minorHAnsi" w:hAnsiTheme="minorHAnsi" w:cstheme="majorBidi"/>
          <w:position w:val="-6"/>
          <w:sz w:val="24"/>
          <w:szCs w:val="24"/>
        </w:rPr>
        <w:t>1</w:t>
      </w:r>
      <w:r w:rsidR="00E72151">
        <w:rPr>
          <w:rFonts w:asciiTheme="minorHAnsi" w:hAnsiTheme="minorHAnsi" w:cstheme="majorBidi"/>
          <w:position w:val="-6"/>
          <w:sz w:val="24"/>
          <w:szCs w:val="24"/>
        </w:rPr>
        <w:t>215</w:t>
      </w:r>
      <w:r w:rsidR="00D71549" w:rsidRPr="00036D26">
        <w:rPr>
          <w:rFonts w:asciiTheme="minorHAnsi" w:hAnsiTheme="minorHAnsi" w:cstheme="majorBidi"/>
          <w:position w:val="-6"/>
          <w:sz w:val="24"/>
          <w:szCs w:val="24"/>
        </w:rPr>
        <w:t xml:space="preserve"> décès </w:t>
      </w:r>
      <w:r w:rsidR="00D50BB4">
        <w:rPr>
          <w:rFonts w:asciiTheme="minorHAnsi" w:hAnsiTheme="minorHAnsi" w:cstheme="majorBidi"/>
          <w:position w:val="-6"/>
          <w:sz w:val="24"/>
          <w:szCs w:val="24"/>
        </w:rPr>
        <w:t xml:space="preserve">soit </w:t>
      </w:r>
      <w:r w:rsidR="00D50BB4" w:rsidRPr="00D92535">
        <w:rPr>
          <w:rFonts w:asciiTheme="minorHAnsi" w:hAnsiTheme="minorHAnsi" w:cstheme="majorBidi"/>
          <w:b/>
          <w:bCs/>
          <w:position w:val="-6"/>
          <w:sz w:val="24"/>
          <w:szCs w:val="24"/>
        </w:rPr>
        <w:t xml:space="preserve">trois </w:t>
      </w:r>
      <w:r w:rsidR="001A381C" w:rsidRPr="00D92535">
        <w:rPr>
          <w:rFonts w:asciiTheme="minorHAnsi" w:hAnsiTheme="minorHAnsi" w:cstheme="majorBidi"/>
          <w:b/>
          <w:bCs/>
          <w:position w:val="-6"/>
          <w:sz w:val="24"/>
          <w:szCs w:val="24"/>
        </w:rPr>
        <w:t>quarts</w:t>
      </w:r>
      <w:r w:rsidR="001A381C" w:rsidRPr="00036D26">
        <w:rPr>
          <w:rFonts w:asciiTheme="minorHAnsi" w:hAnsiTheme="minorHAnsi" w:cstheme="majorBidi"/>
          <w:position w:val="-6"/>
          <w:sz w:val="24"/>
          <w:szCs w:val="24"/>
        </w:rPr>
        <w:t xml:space="preserve"> de</w:t>
      </w:r>
      <w:r w:rsidR="00A676CE" w:rsidRPr="00036D26">
        <w:rPr>
          <w:rFonts w:asciiTheme="minorHAnsi" w:hAnsiTheme="minorHAnsi" w:cstheme="majorBidi"/>
          <w:position w:val="-6"/>
          <w:sz w:val="24"/>
          <w:szCs w:val="24"/>
        </w:rPr>
        <w:t xml:space="preserve"> l’ensemble des décès</w:t>
      </w:r>
      <w:r w:rsidR="00F449B8">
        <w:rPr>
          <w:rFonts w:asciiTheme="minorHAnsi" w:hAnsiTheme="minorHAnsi" w:cstheme="majorBidi"/>
          <w:position w:val="-6"/>
          <w:sz w:val="24"/>
          <w:szCs w:val="24"/>
        </w:rPr>
        <w:t xml:space="preserve"> (7</w:t>
      </w:r>
      <w:r w:rsidR="00E72151">
        <w:rPr>
          <w:rFonts w:asciiTheme="minorHAnsi" w:hAnsiTheme="minorHAnsi" w:cstheme="majorBidi"/>
          <w:position w:val="-6"/>
          <w:sz w:val="24"/>
          <w:szCs w:val="24"/>
        </w:rPr>
        <w:t>4</w:t>
      </w:r>
      <w:r w:rsidR="00F449B8">
        <w:rPr>
          <w:rFonts w:asciiTheme="minorHAnsi" w:hAnsiTheme="minorHAnsi" w:cstheme="majorBidi"/>
          <w:position w:val="-6"/>
          <w:sz w:val="24"/>
          <w:szCs w:val="24"/>
        </w:rPr>
        <w:t>.</w:t>
      </w:r>
      <w:r w:rsidR="00E72151">
        <w:rPr>
          <w:rFonts w:asciiTheme="minorHAnsi" w:hAnsiTheme="minorHAnsi" w:cstheme="majorBidi"/>
          <w:position w:val="-6"/>
          <w:sz w:val="24"/>
          <w:szCs w:val="24"/>
        </w:rPr>
        <w:t>4</w:t>
      </w:r>
      <w:r w:rsidR="00F449B8">
        <w:rPr>
          <w:rFonts w:asciiTheme="minorHAnsi" w:hAnsiTheme="minorHAnsi" w:cstheme="majorBidi"/>
          <w:position w:val="-6"/>
          <w:sz w:val="24"/>
          <w:szCs w:val="24"/>
        </w:rPr>
        <w:t>%)</w:t>
      </w:r>
      <w:r w:rsidR="00A676CE" w:rsidRPr="00036D26">
        <w:rPr>
          <w:rFonts w:asciiTheme="minorHAnsi" w:hAnsiTheme="minorHAnsi" w:cstheme="majorBidi"/>
          <w:position w:val="-6"/>
          <w:sz w:val="24"/>
          <w:szCs w:val="24"/>
        </w:rPr>
        <w:t>, tandis que l’unité Hassib</w:t>
      </w:r>
      <w:r w:rsidR="00D71549" w:rsidRPr="00036D26">
        <w:rPr>
          <w:rFonts w:asciiTheme="minorHAnsi" w:hAnsiTheme="minorHAnsi" w:cstheme="majorBidi"/>
          <w:position w:val="-6"/>
          <w:sz w:val="24"/>
          <w:szCs w:val="24"/>
        </w:rPr>
        <w:t xml:space="preserve">a Ben Bouali </w:t>
      </w:r>
      <w:r w:rsidR="00D71549" w:rsidRPr="00F51144">
        <w:rPr>
          <w:rFonts w:asciiTheme="minorHAnsi" w:hAnsiTheme="minorHAnsi" w:cstheme="majorBidi"/>
          <w:b/>
          <w:position w:val="-6"/>
          <w:sz w:val="24"/>
          <w:szCs w:val="24"/>
        </w:rPr>
        <w:t>en a enregistré</w:t>
      </w:r>
      <w:r w:rsidR="00D71549" w:rsidRPr="00036D26">
        <w:rPr>
          <w:rFonts w:asciiTheme="minorHAnsi" w:hAnsiTheme="minorHAnsi" w:cstheme="majorBidi"/>
          <w:position w:val="-6"/>
          <w:sz w:val="24"/>
          <w:szCs w:val="24"/>
        </w:rPr>
        <w:t xml:space="preserve"> </w:t>
      </w:r>
      <w:r w:rsidR="00E72151">
        <w:rPr>
          <w:rFonts w:asciiTheme="minorHAnsi" w:hAnsiTheme="minorHAnsi" w:cstheme="majorBidi"/>
          <w:position w:val="-6"/>
          <w:sz w:val="24"/>
          <w:szCs w:val="24"/>
        </w:rPr>
        <w:t>418</w:t>
      </w:r>
      <w:r w:rsidR="006A2EFB" w:rsidRPr="00036D26">
        <w:rPr>
          <w:rFonts w:asciiTheme="minorHAnsi" w:hAnsiTheme="minorHAnsi" w:cstheme="majorBidi"/>
          <w:position w:val="-6"/>
          <w:sz w:val="24"/>
          <w:szCs w:val="24"/>
        </w:rPr>
        <w:t>soit</w:t>
      </w:r>
      <w:r w:rsidR="00F51144">
        <w:rPr>
          <w:rFonts w:asciiTheme="minorHAnsi" w:hAnsiTheme="minorHAnsi" w:cstheme="majorBidi"/>
          <w:position w:val="-6"/>
          <w:sz w:val="24"/>
          <w:szCs w:val="24"/>
        </w:rPr>
        <w:t xml:space="preserve"> </w:t>
      </w:r>
      <w:r w:rsidR="00D92535" w:rsidRPr="00D92535">
        <w:rPr>
          <w:rFonts w:asciiTheme="minorHAnsi" w:hAnsiTheme="minorHAnsi" w:cstheme="majorBidi"/>
          <w:b/>
          <w:bCs/>
          <w:position w:val="-6"/>
          <w:sz w:val="24"/>
          <w:szCs w:val="24"/>
        </w:rPr>
        <w:t>un quart</w:t>
      </w:r>
      <w:r w:rsidR="00D92535">
        <w:rPr>
          <w:rFonts w:asciiTheme="minorHAnsi" w:hAnsiTheme="minorHAnsi" w:cstheme="majorBidi"/>
          <w:position w:val="-6"/>
          <w:sz w:val="24"/>
          <w:szCs w:val="24"/>
        </w:rPr>
        <w:t xml:space="preserve"> (</w:t>
      </w:r>
      <w:r w:rsidR="00E72151">
        <w:rPr>
          <w:rFonts w:asciiTheme="minorHAnsi" w:hAnsiTheme="minorHAnsi" w:cstheme="majorBidi"/>
          <w:position w:val="-6"/>
          <w:sz w:val="24"/>
          <w:szCs w:val="24"/>
        </w:rPr>
        <w:t>25</w:t>
      </w:r>
      <w:r w:rsidR="00D92535" w:rsidRPr="00036D26">
        <w:rPr>
          <w:rFonts w:asciiTheme="minorHAnsi" w:hAnsiTheme="minorHAnsi" w:cstheme="majorBidi"/>
          <w:position w:val="-6"/>
          <w:sz w:val="24"/>
          <w:szCs w:val="24"/>
        </w:rPr>
        <w:t>.</w:t>
      </w:r>
      <w:r w:rsidR="00E72151">
        <w:rPr>
          <w:rFonts w:asciiTheme="minorHAnsi" w:hAnsiTheme="minorHAnsi" w:cstheme="majorBidi"/>
          <w:position w:val="-6"/>
          <w:sz w:val="24"/>
          <w:szCs w:val="24"/>
        </w:rPr>
        <w:t>6</w:t>
      </w:r>
      <w:r w:rsidR="00D92535" w:rsidRPr="00036D26">
        <w:rPr>
          <w:rFonts w:asciiTheme="minorHAnsi" w:hAnsiTheme="minorHAnsi" w:cstheme="majorBidi"/>
          <w:position w:val="-6"/>
          <w:sz w:val="24"/>
          <w:szCs w:val="24"/>
        </w:rPr>
        <w:t>%</w:t>
      </w:r>
      <w:r w:rsidR="001A381C" w:rsidRPr="00036D26">
        <w:rPr>
          <w:rFonts w:asciiTheme="minorHAnsi" w:hAnsiTheme="minorHAnsi" w:cstheme="majorBidi"/>
          <w:position w:val="-6"/>
          <w:sz w:val="24"/>
          <w:szCs w:val="24"/>
        </w:rPr>
        <w:t>) de</w:t>
      </w:r>
      <w:r w:rsidR="009357FC" w:rsidRPr="00036D26">
        <w:rPr>
          <w:rFonts w:asciiTheme="minorHAnsi" w:hAnsiTheme="minorHAnsi" w:cstheme="majorBidi"/>
          <w:position w:val="-6"/>
          <w:sz w:val="24"/>
          <w:szCs w:val="24"/>
        </w:rPr>
        <w:t xml:space="preserve"> l’ensemble de décès.</w:t>
      </w:r>
    </w:p>
    <w:p w:rsidR="00036D26" w:rsidRPr="001A381C" w:rsidRDefault="00036D26" w:rsidP="000C4D2A">
      <w:pPr>
        <w:jc w:val="both"/>
        <w:rPr>
          <w:rFonts w:asciiTheme="minorHAnsi" w:hAnsiTheme="minorHAnsi" w:cstheme="majorBidi"/>
          <w:position w:val="-6"/>
          <w:sz w:val="18"/>
          <w:szCs w:val="22"/>
        </w:rPr>
      </w:pPr>
    </w:p>
    <w:p w:rsidR="00CF3AE2" w:rsidRPr="00036D26" w:rsidRDefault="00A676CE" w:rsidP="00406018">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Le service </w:t>
      </w:r>
      <w:r w:rsidR="00F25FD3" w:rsidRPr="00036D26">
        <w:rPr>
          <w:rFonts w:asciiTheme="minorHAnsi" w:hAnsiTheme="minorHAnsi" w:cstheme="majorBidi"/>
          <w:position w:val="-6"/>
          <w:sz w:val="24"/>
          <w:szCs w:val="24"/>
        </w:rPr>
        <w:t>des urgences médicochirurgicales</w:t>
      </w:r>
      <w:r w:rsidR="00AA3FD0">
        <w:rPr>
          <w:rFonts w:asciiTheme="minorHAnsi" w:hAnsiTheme="minorHAnsi" w:cstheme="majorBidi"/>
          <w:position w:val="-6"/>
          <w:sz w:val="24"/>
          <w:szCs w:val="24"/>
        </w:rPr>
        <w:t xml:space="preserve"> (UMC)</w:t>
      </w:r>
      <w:r w:rsidR="00F25FD3" w:rsidRPr="00036D26">
        <w:rPr>
          <w:rFonts w:asciiTheme="minorHAnsi" w:hAnsiTheme="minorHAnsi" w:cstheme="majorBidi"/>
          <w:position w:val="-6"/>
          <w:sz w:val="24"/>
          <w:szCs w:val="24"/>
        </w:rPr>
        <w:t xml:space="preserve"> au CHU de Blida </w:t>
      </w:r>
      <w:r w:rsidRPr="00036D26">
        <w:rPr>
          <w:rFonts w:asciiTheme="minorHAnsi" w:hAnsiTheme="minorHAnsi" w:cstheme="majorBidi"/>
          <w:position w:val="-6"/>
          <w:sz w:val="24"/>
          <w:szCs w:val="24"/>
        </w:rPr>
        <w:t xml:space="preserve">a </w:t>
      </w:r>
      <w:r w:rsidR="00400AFF" w:rsidRPr="00036D26">
        <w:rPr>
          <w:rFonts w:asciiTheme="minorHAnsi" w:hAnsiTheme="minorHAnsi" w:cstheme="majorBidi"/>
          <w:position w:val="-6"/>
          <w:sz w:val="24"/>
          <w:szCs w:val="24"/>
        </w:rPr>
        <w:t xml:space="preserve">occupé la première position avec </w:t>
      </w:r>
      <w:r w:rsidR="00B75DFC" w:rsidRPr="00036D26">
        <w:rPr>
          <w:rFonts w:asciiTheme="minorHAnsi" w:hAnsiTheme="minorHAnsi" w:cstheme="majorBidi"/>
          <w:position w:val="-6"/>
          <w:sz w:val="24"/>
          <w:szCs w:val="24"/>
        </w:rPr>
        <w:t>p</w:t>
      </w:r>
      <w:r w:rsidR="00F25FD3" w:rsidRPr="00036D26">
        <w:rPr>
          <w:rFonts w:asciiTheme="minorHAnsi" w:hAnsiTheme="minorHAnsi" w:cstheme="majorBidi"/>
          <w:position w:val="-6"/>
          <w:sz w:val="24"/>
          <w:szCs w:val="24"/>
        </w:rPr>
        <w:t xml:space="preserve">lus </w:t>
      </w:r>
      <w:r w:rsidR="000C4D2A" w:rsidRPr="00036D26">
        <w:rPr>
          <w:rFonts w:asciiTheme="minorHAnsi" w:hAnsiTheme="minorHAnsi" w:cstheme="majorBidi"/>
          <w:position w:val="-6"/>
          <w:sz w:val="24"/>
          <w:szCs w:val="24"/>
        </w:rPr>
        <w:t>de la moitié</w:t>
      </w:r>
      <w:r w:rsidR="00F449B8">
        <w:rPr>
          <w:rFonts w:asciiTheme="minorHAnsi" w:hAnsiTheme="minorHAnsi" w:cstheme="majorBidi"/>
          <w:position w:val="-6"/>
          <w:sz w:val="24"/>
          <w:szCs w:val="24"/>
        </w:rPr>
        <w:t xml:space="preserve"> des décès soit </w:t>
      </w:r>
      <w:r w:rsidR="00406018">
        <w:rPr>
          <w:rFonts w:asciiTheme="minorHAnsi" w:hAnsiTheme="minorHAnsi" w:cstheme="majorBidi"/>
          <w:position w:val="-6"/>
          <w:sz w:val="24"/>
          <w:szCs w:val="24"/>
        </w:rPr>
        <w:t>56</w:t>
      </w:r>
      <w:r w:rsidR="005C4A32">
        <w:rPr>
          <w:rFonts w:asciiTheme="minorHAnsi" w:hAnsiTheme="minorHAnsi" w:cstheme="majorBidi"/>
          <w:position w:val="-6"/>
          <w:sz w:val="24"/>
          <w:szCs w:val="24"/>
        </w:rPr>
        <w:t xml:space="preserve"> </w:t>
      </w:r>
      <w:r w:rsidR="00F25FD3" w:rsidRPr="00036D26">
        <w:rPr>
          <w:rFonts w:asciiTheme="minorHAnsi" w:hAnsiTheme="minorHAnsi" w:cstheme="majorBidi"/>
          <w:position w:val="-6"/>
          <w:sz w:val="24"/>
          <w:szCs w:val="24"/>
        </w:rPr>
        <w:t>%</w:t>
      </w:r>
      <w:r w:rsidR="00AA3FD0">
        <w:rPr>
          <w:rFonts w:asciiTheme="minorHAnsi" w:hAnsiTheme="minorHAnsi" w:cstheme="majorBidi"/>
          <w:position w:val="-6"/>
          <w:sz w:val="24"/>
          <w:szCs w:val="24"/>
        </w:rPr>
        <w:t>.Le</w:t>
      </w:r>
      <w:r w:rsidR="00BF2DCF" w:rsidRPr="00036D26">
        <w:rPr>
          <w:rFonts w:asciiTheme="minorHAnsi" w:hAnsiTheme="minorHAnsi" w:cstheme="majorBidi"/>
          <w:position w:val="-6"/>
          <w:sz w:val="24"/>
          <w:szCs w:val="24"/>
        </w:rPr>
        <w:t xml:space="preserve"> service de pédiatrie </w:t>
      </w:r>
      <w:r w:rsidR="00AA3FD0">
        <w:rPr>
          <w:rFonts w:asciiTheme="minorHAnsi" w:hAnsiTheme="minorHAnsi" w:cstheme="majorBidi"/>
          <w:position w:val="-6"/>
          <w:sz w:val="24"/>
          <w:szCs w:val="24"/>
        </w:rPr>
        <w:t xml:space="preserve">est arrivé en deuxième position </w:t>
      </w:r>
      <w:r w:rsidR="0062631B" w:rsidRPr="00036D26">
        <w:rPr>
          <w:rFonts w:asciiTheme="minorHAnsi" w:hAnsiTheme="minorHAnsi" w:cstheme="majorBidi"/>
          <w:position w:val="-6"/>
          <w:sz w:val="24"/>
          <w:szCs w:val="24"/>
        </w:rPr>
        <w:t xml:space="preserve">avec </w:t>
      </w:r>
      <w:r w:rsidR="00BF2DCF" w:rsidRPr="00036D26">
        <w:rPr>
          <w:rFonts w:asciiTheme="minorHAnsi" w:hAnsiTheme="minorHAnsi" w:cstheme="majorBidi"/>
          <w:position w:val="-6"/>
          <w:sz w:val="24"/>
          <w:szCs w:val="24"/>
        </w:rPr>
        <w:t>2</w:t>
      </w:r>
      <w:r w:rsidR="00D50BB4">
        <w:rPr>
          <w:rFonts w:asciiTheme="minorHAnsi" w:hAnsiTheme="minorHAnsi" w:cstheme="majorBidi"/>
          <w:position w:val="-6"/>
          <w:sz w:val="24"/>
          <w:szCs w:val="24"/>
        </w:rPr>
        <w:t>1</w:t>
      </w:r>
      <w:r w:rsidR="00BF2DCF" w:rsidRPr="00036D26">
        <w:rPr>
          <w:rFonts w:asciiTheme="minorHAnsi" w:hAnsiTheme="minorHAnsi" w:cstheme="majorBidi"/>
          <w:position w:val="-6"/>
          <w:sz w:val="24"/>
          <w:szCs w:val="24"/>
        </w:rPr>
        <w:t>.</w:t>
      </w:r>
      <w:r w:rsidR="00406018">
        <w:rPr>
          <w:rFonts w:asciiTheme="minorHAnsi" w:hAnsiTheme="minorHAnsi" w:cstheme="majorBidi"/>
          <w:position w:val="-6"/>
          <w:sz w:val="24"/>
          <w:szCs w:val="24"/>
        </w:rPr>
        <w:t>1</w:t>
      </w:r>
      <w:r w:rsidR="00BF2DCF" w:rsidRPr="00036D26">
        <w:rPr>
          <w:rFonts w:asciiTheme="minorHAnsi" w:hAnsiTheme="minorHAnsi" w:cstheme="majorBidi"/>
          <w:position w:val="-6"/>
          <w:sz w:val="24"/>
          <w:szCs w:val="24"/>
        </w:rPr>
        <w:t>%</w:t>
      </w:r>
      <w:r w:rsidR="00E5612E" w:rsidRPr="00036D26">
        <w:rPr>
          <w:rFonts w:asciiTheme="minorHAnsi" w:hAnsiTheme="minorHAnsi" w:cstheme="majorBidi"/>
          <w:position w:val="-6"/>
          <w:sz w:val="24"/>
          <w:szCs w:val="24"/>
        </w:rPr>
        <w:t>.</w:t>
      </w:r>
      <w:r w:rsidR="00095D45" w:rsidRPr="00036D26">
        <w:rPr>
          <w:rFonts w:asciiTheme="minorHAnsi" w:hAnsiTheme="minorHAnsi" w:cstheme="majorBidi"/>
          <w:position w:val="-6"/>
          <w:sz w:val="24"/>
          <w:szCs w:val="24"/>
        </w:rPr>
        <w:t>L</w:t>
      </w:r>
      <w:r w:rsidR="00F449B8">
        <w:rPr>
          <w:rFonts w:asciiTheme="minorHAnsi" w:hAnsiTheme="minorHAnsi" w:cstheme="majorBidi"/>
          <w:position w:val="-6"/>
          <w:sz w:val="24"/>
          <w:szCs w:val="24"/>
        </w:rPr>
        <w:t>es services d’</w:t>
      </w:r>
      <w:r w:rsidR="00095D45" w:rsidRPr="00036D26">
        <w:rPr>
          <w:rFonts w:asciiTheme="minorHAnsi" w:hAnsiTheme="minorHAnsi" w:cstheme="majorBidi"/>
          <w:position w:val="-6"/>
          <w:sz w:val="24"/>
          <w:szCs w:val="24"/>
        </w:rPr>
        <w:t>ORL</w:t>
      </w:r>
      <w:r w:rsidR="003A6F85" w:rsidRPr="00036D26">
        <w:rPr>
          <w:rFonts w:asciiTheme="minorHAnsi" w:hAnsiTheme="minorHAnsi" w:cstheme="majorBidi"/>
          <w:position w:val="-6"/>
          <w:sz w:val="24"/>
          <w:szCs w:val="24"/>
        </w:rPr>
        <w:t xml:space="preserve">, </w:t>
      </w:r>
      <w:r w:rsidR="00406018">
        <w:rPr>
          <w:rFonts w:asciiTheme="minorHAnsi" w:hAnsiTheme="minorHAnsi" w:cstheme="majorBidi"/>
          <w:position w:val="-6"/>
          <w:sz w:val="24"/>
          <w:szCs w:val="24"/>
        </w:rPr>
        <w:t>d’orthopédie</w:t>
      </w:r>
      <w:r w:rsidR="00292711">
        <w:rPr>
          <w:rFonts w:asciiTheme="minorHAnsi" w:hAnsiTheme="minorHAnsi" w:cstheme="majorBidi"/>
          <w:position w:val="-6"/>
          <w:sz w:val="24"/>
          <w:szCs w:val="24"/>
        </w:rPr>
        <w:t>,</w:t>
      </w:r>
      <w:r w:rsidR="00F449B8">
        <w:rPr>
          <w:rFonts w:asciiTheme="minorHAnsi" w:hAnsiTheme="minorHAnsi" w:cstheme="majorBidi"/>
          <w:position w:val="-6"/>
          <w:sz w:val="24"/>
          <w:szCs w:val="24"/>
        </w:rPr>
        <w:t xml:space="preserve"> de m</w:t>
      </w:r>
      <w:r w:rsidR="00E5612E" w:rsidRPr="00036D26">
        <w:rPr>
          <w:rFonts w:asciiTheme="minorHAnsi" w:hAnsiTheme="minorHAnsi" w:cstheme="majorBidi"/>
          <w:position w:val="-6"/>
          <w:sz w:val="24"/>
          <w:szCs w:val="24"/>
        </w:rPr>
        <w:t xml:space="preserve">édecine </w:t>
      </w:r>
      <w:r w:rsidR="00842F2A" w:rsidRPr="00036D26">
        <w:rPr>
          <w:rFonts w:asciiTheme="minorHAnsi" w:hAnsiTheme="minorHAnsi" w:cstheme="majorBidi"/>
          <w:position w:val="-6"/>
          <w:sz w:val="24"/>
          <w:szCs w:val="24"/>
        </w:rPr>
        <w:t>légale et</w:t>
      </w:r>
      <w:r w:rsidR="00F449B8">
        <w:rPr>
          <w:rFonts w:asciiTheme="minorHAnsi" w:hAnsiTheme="minorHAnsi" w:cstheme="majorBidi"/>
          <w:position w:val="-6"/>
          <w:sz w:val="24"/>
          <w:szCs w:val="24"/>
        </w:rPr>
        <w:t xml:space="preserve"> le </w:t>
      </w:r>
      <w:r w:rsidR="001A381C">
        <w:rPr>
          <w:rFonts w:asciiTheme="minorHAnsi" w:hAnsiTheme="minorHAnsi" w:cstheme="majorBidi"/>
          <w:position w:val="-6"/>
          <w:sz w:val="24"/>
          <w:szCs w:val="24"/>
        </w:rPr>
        <w:t>service de</w:t>
      </w:r>
      <w:r w:rsidR="00406018">
        <w:rPr>
          <w:rFonts w:asciiTheme="minorHAnsi" w:hAnsiTheme="minorHAnsi" w:cstheme="majorBidi"/>
          <w:position w:val="-6"/>
          <w:sz w:val="24"/>
          <w:szCs w:val="24"/>
        </w:rPr>
        <w:t xml:space="preserve"> médecine physique et de réadaptation</w:t>
      </w:r>
      <w:r w:rsidR="007E5518">
        <w:rPr>
          <w:rFonts w:asciiTheme="minorHAnsi" w:hAnsiTheme="minorHAnsi" w:cstheme="majorBidi"/>
          <w:position w:val="-6"/>
          <w:sz w:val="24"/>
          <w:szCs w:val="24"/>
        </w:rPr>
        <w:t xml:space="preserve"> (MPR</w:t>
      </w:r>
      <w:r w:rsidR="001A381C">
        <w:rPr>
          <w:rFonts w:asciiTheme="minorHAnsi" w:hAnsiTheme="minorHAnsi" w:cstheme="majorBidi"/>
          <w:position w:val="-6"/>
          <w:sz w:val="24"/>
          <w:szCs w:val="24"/>
        </w:rPr>
        <w:t>)</w:t>
      </w:r>
      <w:r w:rsidR="001A381C" w:rsidRPr="00036D26">
        <w:rPr>
          <w:rFonts w:asciiTheme="minorHAnsi" w:hAnsiTheme="minorHAnsi" w:cstheme="majorBidi"/>
          <w:position w:val="-6"/>
          <w:sz w:val="24"/>
          <w:szCs w:val="24"/>
        </w:rPr>
        <w:t xml:space="preserve"> étaient</w:t>
      </w:r>
      <w:r w:rsidRPr="00036D26">
        <w:rPr>
          <w:rFonts w:asciiTheme="minorHAnsi" w:hAnsiTheme="minorHAnsi" w:cstheme="majorBidi"/>
          <w:position w:val="-6"/>
          <w:sz w:val="24"/>
          <w:szCs w:val="24"/>
        </w:rPr>
        <w:t xml:space="preserve"> parmi les services qui comptabilisaient le moins de décès, </w:t>
      </w:r>
      <w:r w:rsidR="00920B3A" w:rsidRPr="00036D26">
        <w:rPr>
          <w:rFonts w:asciiTheme="minorHAnsi" w:hAnsiTheme="minorHAnsi" w:cstheme="majorBidi"/>
          <w:position w:val="-6"/>
          <w:sz w:val="24"/>
          <w:szCs w:val="24"/>
        </w:rPr>
        <w:t xml:space="preserve">avec </w:t>
      </w:r>
      <w:r w:rsidRPr="00036D26">
        <w:rPr>
          <w:rFonts w:asciiTheme="minorHAnsi" w:hAnsiTheme="minorHAnsi" w:cstheme="majorBidi"/>
          <w:position w:val="-6"/>
          <w:sz w:val="24"/>
          <w:szCs w:val="24"/>
        </w:rPr>
        <w:t xml:space="preserve">respectivement </w:t>
      </w:r>
      <w:r w:rsidR="00920B3A" w:rsidRPr="00036D26">
        <w:rPr>
          <w:rFonts w:asciiTheme="minorHAnsi" w:hAnsiTheme="minorHAnsi" w:cstheme="majorBidi"/>
          <w:position w:val="-6"/>
          <w:sz w:val="24"/>
          <w:szCs w:val="24"/>
        </w:rPr>
        <w:t>(</w:t>
      </w:r>
      <w:r w:rsidRPr="00036D26">
        <w:rPr>
          <w:rFonts w:asciiTheme="minorHAnsi" w:hAnsiTheme="minorHAnsi" w:cstheme="majorBidi"/>
          <w:position w:val="-6"/>
          <w:sz w:val="24"/>
          <w:szCs w:val="24"/>
        </w:rPr>
        <w:t>0.</w:t>
      </w:r>
      <w:r w:rsidR="00406018">
        <w:rPr>
          <w:rFonts w:asciiTheme="minorHAnsi" w:hAnsiTheme="minorHAnsi" w:cstheme="majorBidi"/>
          <w:position w:val="-6"/>
          <w:sz w:val="24"/>
          <w:szCs w:val="24"/>
        </w:rPr>
        <w:t>4</w:t>
      </w:r>
      <w:r w:rsidRPr="00036D26">
        <w:rPr>
          <w:rFonts w:asciiTheme="minorHAnsi" w:hAnsiTheme="minorHAnsi" w:cstheme="majorBidi"/>
          <w:position w:val="-6"/>
          <w:sz w:val="24"/>
          <w:szCs w:val="24"/>
        </w:rPr>
        <w:t xml:space="preserve">% </w:t>
      </w:r>
      <w:r w:rsidR="00920B3A" w:rsidRPr="00036D26">
        <w:rPr>
          <w:rFonts w:asciiTheme="minorHAnsi" w:hAnsiTheme="minorHAnsi" w:cstheme="majorBidi"/>
          <w:position w:val="-6"/>
          <w:sz w:val="24"/>
          <w:szCs w:val="24"/>
        </w:rPr>
        <w:t>,0.</w:t>
      </w:r>
      <w:r w:rsidR="00406018">
        <w:rPr>
          <w:rFonts w:asciiTheme="minorHAnsi" w:hAnsiTheme="minorHAnsi" w:cstheme="majorBidi"/>
          <w:position w:val="-6"/>
          <w:sz w:val="24"/>
          <w:szCs w:val="24"/>
        </w:rPr>
        <w:t>4</w:t>
      </w:r>
      <w:r w:rsidR="00920B3A" w:rsidRPr="00036D26">
        <w:rPr>
          <w:rFonts w:asciiTheme="minorHAnsi" w:hAnsiTheme="minorHAnsi" w:cstheme="majorBidi"/>
          <w:position w:val="-6"/>
          <w:sz w:val="24"/>
          <w:szCs w:val="24"/>
        </w:rPr>
        <w:t>%,</w:t>
      </w:r>
      <w:r w:rsidR="00406018">
        <w:rPr>
          <w:rFonts w:asciiTheme="minorHAnsi" w:hAnsiTheme="minorHAnsi" w:cstheme="majorBidi"/>
          <w:position w:val="-6"/>
          <w:sz w:val="24"/>
          <w:szCs w:val="24"/>
        </w:rPr>
        <w:t>0.1</w:t>
      </w:r>
      <w:r w:rsidR="003A6F85" w:rsidRPr="00036D26">
        <w:rPr>
          <w:rFonts w:asciiTheme="minorHAnsi" w:hAnsiTheme="minorHAnsi" w:cstheme="majorBidi"/>
          <w:position w:val="-6"/>
          <w:sz w:val="24"/>
          <w:szCs w:val="24"/>
        </w:rPr>
        <w:t xml:space="preserve">%, </w:t>
      </w:r>
      <w:r w:rsidR="00920B3A" w:rsidRPr="00036D26">
        <w:rPr>
          <w:rFonts w:asciiTheme="minorHAnsi" w:hAnsiTheme="minorHAnsi" w:cstheme="majorBidi"/>
          <w:position w:val="-6"/>
          <w:sz w:val="24"/>
          <w:szCs w:val="24"/>
        </w:rPr>
        <w:t>et 0.</w:t>
      </w:r>
      <w:r w:rsidR="00406018">
        <w:rPr>
          <w:rFonts w:asciiTheme="minorHAnsi" w:hAnsiTheme="minorHAnsi" w:cstheme="majorBidi"/>
          <w:position w:val="-6"/>
          <w:sz w:val="24"/>
          <w:szCs w:val="24"/>
        </w:rPr>
        <w:t>1</w:t>
      </w:r>
      <w:r w:rsidRPr="00036D26">
        <w:rPr>
          <w:rFonts w:asciiTheme="minorHAnsi" w:hAnsiTheme="minorHAnsi" w:cstheme="majorBidi"/>
          <w:position w:val="-6"/>
          <w:sz w:val="24"/>
          <w:szCs w:val="24"/>
        </w:rPr>
        <w:t>%</w:t>
      </w:r>
      <w:r w:rsidR="00920B3A" w:rsidRPr="00036D26">
        <w:rPr>
          <w:rFonts w:asciiTheme="minorHAnsi" w:hAnsiTheme="minorHAnsi" w:cstheme="majorBidi"/>
          <w:position w:val="-6"/>
          <w:sz w:val="24"/>
          <w:szCs w:val="24"/>
        </w:rPr>
        <w:t>)</w:t>
      </w:r>
      <w:r w:rsidRPr="00036D26">
        <w:rPr>
          <w:rFonts w:asciiTheme="minorHAnsi" w:hAnsiTheme="minorHAnsi" w:cstheme="majorBidi"/>
          <w:position w:val="-6"/>
          <w:sz w:val="24"/>
          <w:szCs w:val="24"/>
        </w:rPr>
        <w:t xml:space="preserve">. </w:t>
      </w:r>
      <w:r w:rsidR="00842F2A" w:rsidRPr="00036D26">
        <w:rPr>
          <w:rFonts w:asciiTheme="minorHAnsi" w:hAnsiTheme="minorHAnsi" w:cstheme="majorBidi"/>
          <w:position w:val="-6"/>
          <w:sz w:val="24"/>
          <w:szCs w:val="24"/>
        </w:rPr>
        <w:t xml:space="preserve">Par </w:t>
      </w:r>
      <w:r w:rsidR="0039711B" w:rsidRPr="00036D26">
        <w:rPr>
          <w:rFonts w:asciiTheme="minorHAnsi" w:hAnsiTheme="minorHAnsi" w:cstheme="majorBidi"/>
          <w:position w:val="-6"/>
          <w:sz w:val="24"/>
          <w:szCs w:val="24"/>
        </w:rPr>
        <w:t>ailleurs, aucun</w:t>
      </w:r>
      <w:r w:rsidR="00842F2A" w:rsidRPr="00036D26">
        <w:rPr>
          <w:rFonts w:asciiTheme="minorHAnsi" w:hAnsiTheme="minorHAnsi" w:cstheme="majorBidi"/>
          <w:position w:val="-6"/>
          <w:sz w:val="24"/>
          <w:szCs w:val="24"/>
        </w:rPr>
        <w:t xml:space="preserve"> décès n’a </w:t>
      </w:r>
      <w:r w:rsidR="008D770D">
        <w:rPr>
          <w:rFonts w:asciiTheme="minorHAnsi" w:hAnsiTheme="minorHAnsi" w:cstheme="majorBidi"/>
          <w:position w:val="-6"/>
          <w:sz w:val="24"/>
          <w:szCs w:val="24"/>
        </w:rPr>
        <w:t>été</w:t>
      </w:r>
      <w:r w:rsidR="001A381C">
        <w:rPr>
          <w:rFonts w:asciiTheme="minorHAnsi" w:hAnsiTheme="minorHAnsi" w:cstheme="majorBidi"/>
          <w:position w:val="-6"/>
          <w:sz w:val="24"/>
          <w:szCs w:val="24"/>
        </w:rPr>
        <w:t xml:space="preserve"> </w:t>
      </w:r>
      <w:r w:rsidR="003A6F85" w:rsidRPr="00036D26">
        <w:rPr>
          <w:rFonts w:asciiTheme="minorHAnsi" w:hAnsiTheme="minorHAnsi" w:cstheme="majorBidi"/>
          <w:position w:val="-6"/>
          <w:sz w:val="24"/>
          <w:szCs w:val="24"/>
        </w:rPr>
        <w:t>enregistré au</w:t>
      </w:r>
      <w:r w:rsidR="00406018">
        <w:rPr>
          <w:rFonts w:asciiTheme="minorHAnsi" w:hAnsiTheme="minorHAnsi" w:cstheme="majorBidi"/>
          <w:position w:val="-6"/>
          <w:sz w:val="24"/>
          <w:szCs w:val="24"/>
        </w:rPr>
        <w:t xml:space="preserve"> niveau du</w:t>
      </w:r>
      <w:r w:rsidR="001A381C">
        <w:rPr>
          <w:rFonts w:asciiTheme="minorHAnsi" w:hAnsiTheme="minorHAnsi" w:cstheme="majorBidi"/>
          <w:position w:val="-6"/>
          <w:sz w:val="24"/>
          <w:szCs w:val="24"/>
        </w:rPr>
        <w:t xml:space="preserve"> </w:t>
      </w:r>
      <w:r w:rsidR="00842F2A" w:rsidRPr="00036D26">
        <w:rPr>
          <w:rFonts w:asciiTheme="minorHAnsi" w:hAnsiTheme="minorHAnsi" w:cstheme="majorBidi"/>
          <w:position w:val="-6"/>
          <w:sz w:val="24"/>
          <w:szCs w:val="24"/>
        </w:rPr>
        <w:t xml:space="preserve">service </w:t>
      </w:r>
      <w:r w:rsidR="0039711B" w:rsidRPr="00036D26">
        <w:rPr>
          <w:rFonts w:asciiTheme="minorHAnsi" w:hAnsiTheme="minorHAnsi" w:cstheme="majorBidi"/>
          <w:position w:val="-6"/>
          <w:sz w:val="24"/>
          <w:szCs w:val="24"/>
        </w:rPr>
        <w:t>d’</w:t>
      </w:r>
      <w:r w:rsidR="001A381C" w:rsidRPr="00036D26">
        <w:rPr>
          <w:rFonts w:asciiTheme="minorHAnsi" w:hAnsiTheme="minorHAnsi" w:cstheme="majorBidi"/>
          <w:position w:val="-6"/>
          <w:sz w:val="24"/>
          <w:szCs w:val="24"/>
        </w:rPr>
        <w:t>ophtalmologie</w:t>
      </w:r>
      <w:r w:rsidR="001A381C">
        <w:rPr>
          <w:rFonts w:asciiTheme="minorHAnsi" w:hAnsiTheme="minorHAnsi" w:cstheme="majorBidi"/>
          <w:position w:val="-6"/>
          <w:sz w:val="24"/>
          <w:szCs w:val="24"/>
        </w:rPr>
        <w:t>.</w:t>
      </w:r>
      <w:r w:rsidR="001A381C" w:rsidRPr="00036D26">
        <w:rPr>
          <w:rFonts w:asciiTheme="minorHAnsi" w:hAnsiTheme="minorHAnsi" w:cstheme="majorBidi"/>
          <w:position w:val="-6"/>
          <w:sz w:val="24"/>
          <w:szCs w:val="24"/>
        </w:rPr>
        <w:t xml:space="preserve"> Il</w:t>
      </w:r>
      <w:r w:rsidRPr="00036D26">
        <w:rPr>
          <w:rFonts w:asciiTheme="minorHAnsi" w:hAnsiTheme="minorHAnsi" w:cstheme="majorBidi"/>
          <w:position w:val="-6"/>
          <w:sz w:val="24"/>
          <w:szCs w:val="24"/>
        </w:rPr>
        <w:t xml:space="preserve"> est bien évident que la gravité des affections prises en charge est très variable d’un service à un autre.</w:t>
      </w:r>
    </w:p>
    <w:p w:rsidR="00D92535" w:rsidRPr="00D92535" w:rsidRDefault="00D92535" w:rsidP="008D770D">
      <w:pPr>
        <w:jc w:val="both"/>
        <w:rPr>
          <w:rFonts w:asciiTheme="minorHAnsi" w:hAnsiTheme="minorHAnsi" w:cstheme="majorBidi"/>
          <w:position w:val="-6"/>
          <w:sz w:val="16"/>
          <w:szCs w:val="16"/>
        </w:rPr>
      </w:pPr>
    </w:p>
    <w:p w:rsidR="00577D43" w:rsidRPr="00036D26" w:rsidRDefault="0062631B" w:rsidP="00843992">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lastRenderedPageBreak/>
        <w:t>La moyenne</w:t>
      </w:r>
      <w:r w:rsidR="008D3AC2" w:rsidRPr="00036D26">
        <w:rPr>
          <w:rFonts w:asciiTheme="minorHAnsi" w:hAnsiTheme="minorHAnsi" w:cstheme="majorBidi"/>
          <w:position w:val="-6"/>
          <w:sz w:val="24"/>
          <w:szCs w:val="24"/>
        </w:rPr>
        <w:t xml:space="preserve"> de la durée de séjour </w:t>
      </w:r>
      <w:r w:rsidR="006175D8" w:rsidRPr="00036D26">
        <w:rPr>
          <w:rFonts w:asciiTheme="minorHAnsi" w:hAnsiTheme="minorHAnsi" w:cstheme="majorBidi"/>
          <w:position w:val="-6"/>
          <w:sz w:val="24"/>
          <w:szCs w:val="24"/>
        </w:rPr>
        <w:t>a</w:t>
      </w:r>
      <w:r w:rsidR="001A381C">
        <w:rPr>
          <w:rFonts w:asciiTheme="minorHAnsi" w:hAnsiTheme="minorHAnsi" w:cstheme="majorBidi"/>
          <w:position w:val="-6"/>
          <w:sz w:val="24"/>
          <w:szCs w:val="24"/>
        </w:rPr>
        <w:t xml:space="preserve"> </w:t>
      </w:r>
      <w:r w:rsidR="00564EC9" w:rsidRPr="00036D26">
        <w:rPr>
          <w:rFonts w:asciiTheme="minorHAnsi" w:hAnsiTheme="minorHAnsi" w:cstheme="majorBidi"/>
          <w:position w:val="-6"/>
          <w:sz w:val="24"/>
          <w:szCs w:val="24"/>
        </w:rPr>
        <w:t>varié</w:t>
      </w:r>
      <w:r w:rsidR="003F1A55" w:rsidRPr="00036D26">
        <w:rPr>
          <w:rFonts w:asciiTheme="minorHAnsi" w:hAnsiTheme="minorHAnsi" w:cstheme="majorBidi"/>
          <w:position w:val="-6"/>
          <w:sz w:val="24"/>
          <w:szCs w:val="24"/>
        </w:rPr>
        <w:t xml:space="preserve"> significativement</w:t>
      </w:r>
      <w:r w:rsidR="001A381C">
        <w:rPr>
          <w:rFonts w:asciiTheme="minorHAnsi" w:hAnsiTheme="minorHAnsi" w:cstheme="majorBidi"/>
          <w:position w:val="-6"/>
          <w:sz w:val="24"/>
          <w:szCs w:val="24"/>
        </w:rPr>
        <w:t xml:space="preserve"> </w:t>
      </w:r>
      <w:r w:rsidR="00E56062" w:rsidRPr="00036D26">
        <w:rPr>
          <w:rFonts w:asciiTheme="minorHAnsi" w:hAnsiTheme="minorHAnsi" w:cstheme="majorBidi"/>
          <w:position w:val="-6"/>
          <w:sz w:val="24"/>
          <w:szCs w:val="24"/>
        </w:rPr>
        <w:t>(p</w:t>
      </w:r>
      <w:r w:rsidR="007857D7" w:rsidRPr="00036D26">
        <w:rPr>
          <w:rFonts w:asciiTheme="minorHAnsi" w:hAnsiTheme="minorHAnsi" w:cstheme="majorBidi"/>
          <w:position w:val="-6"/>
          <w:sz w:val="24"/>
          <w:szCs w:val="24"/>
        </w:rPr>
        <w:t>&lt;</w:t>
      </w:r>
      <w:r w:rsidR="00E56062" w:rsidRPr="00036D26">
        <w:rPr>
          <w:rFonts w:asciiTheme="minorHAnsi" w:hAnsiTheme="minorHAnsi" w:cstheme="majorBidi"/>
          <w:position w:val="-6"/>
          <w:sz w:val="24"/>
          <w:szCs w:val="24"/>
        </w:rPr>
        <w:t>0.0001)</w:t>
      </w:r>
      <w:r w:rsidR="001A381C">
        <w:rPr>
          <w:rFonts w:asciiTheme="minorHAnsi" w:hAnsiTheme="minorHAnsi" w:cstheme="majorBidi"/>
          <w:position w:val="-6"/>
          <w:sz w:val="24"/>
          <w:szCs w:val="24"/>
        </w:rPr>
        <w:t xml:space="preserve"> </w:t>
      </w:r>
      <w:r w:rsidR="00C23F2E" w:rsidRPr="00036D26">
        <w:rPr>
          <w:rFonts w:asciiTheme="minorHAnsi" w:hAnsiTheme="minorHAnsi" w:cstheme="majorBidi"/>
          <w:position w:val="-6"/>
          <w:sz w:val="24"/>
          <w:szCs w:val="24"/>
        </w:rPr>
        <w:t xml:space="preserve">entre </w:t>
      </w:r>
      <w:r w:rsidR="003F1A55" w:rsidRPr="00036D26">
        <w:rPr>
          <w:rFonts w:asciiTheme="minorHAnsi" w:hAnsiTheme="minorHAnsi" w:cstheme="majorBidi"/>
          <w:position w:val="-6"/>
          <w:sz w:val="24"/>
          <w:szCs w:val="24"/>
        </w:rPr>
        <w:t>les différen</w:t>
      </w:r>
      <w:r w:rsidR="002A5DD5" w:rsidRPr="00036D26">
        <w:rPr>
          <w:rFonts w:asciiTheme="minorHAnsi" w:hAnsiTheme="minorHAnsi" w:cstheme="majorBidi"/>
          <w:position w:val="-6"/>
          <w:sz w:val="24"/>
          <w:szCs w:val="24"/>
        </w:rPr>
        <w:t>t</w:t>
      </w:r>
      <w:r w:rsidR="006175D8" w:rsidRPr="00036D26">
        <w:rPr>
          <w:rFonts w:asciiTheme="minorHAnsi" w:hAnsiTheme="minorHAnsi" w:cstheme="majorBidi"/>
          <w:position w:val="-6"/>
          <w:sz w:val="24"/>
          <w:szCs w:val="24"/>
        </w:rPr>
        <w:t>s services du CHU</w:t>
      </w:r>
      <w:r w:rsidR="003C0E42" w:rsidRPr="00036D26">
        <w:rPr>
          <w:rFonts w:asciiTheme="minorHAnsi" w:hAnsiTheme="minorHAnsi" w:cstheme="majorBidi"/>
          <w:position w:val="-6"/>
          <w:sz w:val="24"/>
          <w:szCs w:val="24"/>
        </w:rPr>
        <w:t xml:space="preserve">, de </w:t>
      </w:r>
      <w:r w:rsidR="00290865">
        <w:rPr>
          <w:rFonts w:asciiTheme="minorHAnsi" w:hAnsiTheme="minorHAnsi" w:cstheme="majorBidi"/>
          <w:position w:val="-6"/>
          <w:sz w:val="24"/>
          <w:szCs w:val="24"/>
        </w:rPr>
        <w:t>1.4</w:t>
      </w:r>
      <w:r w:rsidR="001A381C">
        <w:rPr>
          <w:rFonts w:asciiTheme="minorHAnsi" w:hAnsiTheme="minorHAnsi" w:cstheme="majorBidi"/>
          <w:position w:val="-6"/>
          <w:sz w:val="24"/>
          <w:szCs w:val="24"/>
        </w:rPr>
        <w:t xml:space="preserve"> </w:t>
      </w:r>
      <w:r w:rsidR="00112016" w:rsidRPr="00036D26">
        <w:rPr>
          <w:rFonts w:asciiTheme="minorHAnsi" w:hAnsiTheme="minorHAnsi" w:cstheme="majorBidi"/>
          <w:position w:val="-6"/>
          <w:sz w:val="24"/>
          <w:szCs w:val="24"/>
        </w:rPr>
        <w:t>±</w:t>
      </w:r>
      <w:r w:rsidR="001A381C">
        <w:rPr>
          <w:rFonts w:asciiTheme="minorHAnsi" w:hAnsiTheme="minorHAnsi" w:cstheme="majorBidi"/>
          <w:position w:val="-6"/>
          <w:sz w:val="24"/>
          <w:szCs w:val="24"/>
        </w:rPr>
        <w:t xml:space="preserve"> </w:t>
      </w:r>
      <w:r w:rsidR="00290865">
        <w:rPr>
          <w:rFonts w:asciiTheme="minorHAnsi" w:hAnsiTheme="minorHAnsi" w:cstheme="majorBidi"/>
          <w:position w:val="-6"/>
          <w:sz w:val="24"/>
          <w:szCs w:val="24"/>
        </w:rPr>
        <w:t>1.6</w:t>
      </w:r>
      <w:r w:rsidR="005C4A32">
        <w:rPr>
          <w:rFonts w:asciiTheme="minorHAnsi" w:hAnsiTheme="minorHAnsi" w:cstheme="majorBidi"/>
          <w:position w:val="-6"/>
          <w:sz w:val="24"/>
          <w:szCs w:val="24"/>
        </w:rPr>
        <w:t xml:space="preserve"> </w:t>
      </w:r>
      <w:r w:rsidR="00DB033B" w:rsidRPr="00036D26">
        <w:rPr>
          <w:rFonts w:asciiTheme="minorHAnsi" w:hAnsiTheme="minorHAnsi" w:cstheme="majorBidi"/>
          <w:position w:val="-6"/>
          <w:sz w:val="24"/>
          <w:szCs w:val="24"/>
        </w:rPr>
        <w:t xml:space="preserve">jours </w:t>
      </w:r>
      <w:r w:rsidR="00564EC9" w:rsidRPr="00036D26">
        <w:rPr>
          <w:rFonts w:asciiTheme="minorHAnsi" w:hAnsiTheme="minorHAnsi" w:cstheme="majorBidi"/>
          <w:position w:val="-6"/>
          <w:sz w:val="24"/>
          <w:szCs w:val="24"/>
        </w:rPr>
        <w:t xml:space="preserve">pour </w:t>
      </w:r>
      <w:r w:rsidR="00AD48FB" w:rsidRPr="00036D26">
        <w:rPr>
          <w:rFonts w:asciiTheme="minorHAnsi" w:hAnsiTheme="minorHAnsi" w:cstheme="majorBidi"/>
          <w:position w:val="-6"/>
          <w:sz w:val="24"/>
          <w:szCs w:val="24"/>
        </w:rPr>
        <w:t xml:space="preserve">le service </w:t>
      </w:r>
      <w:r w:rsidR="005C4A32">
        <w:rPr>
          <w:rFonts w:asciiTheme="minorHAnsi" w:hAnsiTheme="minorHAnsi" w:cstheme="majorBidi"/>
          <w:position w:val="-6"/>
          <w:sz w:val="24"/>
          <w:szCs w:val="24"/>
        </w:rPr>
        <w:t>d’</w:t>
      </w:r>
      <w:r w:rsidR="005C4A32" w:rsidRPr="00036D26">
        <w:rPr>
          <w:rFonts w:asciiTheme="minorHAnsi" w:hAnsiTheme="minorHAnsi" w:cstheme="majorBidi"/>
          <w:position w:val="-6"/>
          <w:sz w:val="24"/>
          <w:szCs w:val="24"/>
        </w:rPr>
        <w:t>oncologie (</w:t>
      </w:r>
      <w:r w:rsidR="00564EC9" w:rsidRPr="00036D26">
        <w:rPr>
          <w:rFonts w:asciiTheme="minorHAnsi" w:hAnsiTheme="minorHAnsi" w:cstheme="majorBidi"/>
          <w:position w:val="-6"/>
          <w:sz w:val="24"/>
          <w:szCs w:val="24"/>
        </w:rPr>
        <w:t xml:space="preserve">moyenne ± </w:t>
      </w:r>
      <w:r w:rsidR="005C4A32" w:rsidRPr="00036D26">
        <w:rPr>
          <w:rFonts w:asciiTheme="minorHAnsi" w:hAnsiTheme="minorHAnsi" w:cstheme="majorBidi"/>
          <w:position w:val="-6"/>
          <w:sz w:val="24"/>
          <w:szCs w:val="24"/>
        </w:rPr>
        <w:t>é</w:t>
      </w:r>
      <w:r w:rsidR="005C4A32">
        <w:rPr>
          <w:rFonts w:asciiTheme="minorHAnsi" w:hAnsiTheme="minorHAnsi" w:cstheme="majorBidi"/>
          <w:position w:val="-6"/>
          <w:sz w:val="24"/>
          <w:szCs w:val="24"/>
        </w:rPr>
        <w:t>cart</w:t>
      </w:r>
      <w:r w:rsidR="008D770D">
        <w:rPr>
          <w:rFonts w:asciiTheme="minorHAnsi" w:hAnsiTheme="minorHAnsi" w:cstheme="majorBidi"/>
          <w:position w:val="-6"/>
          <w:sz w:val="24"/>
          <w:szCs w:val="24"/>
        </w:rPr>
        <w:t xml:space="preserve"> typ</w:t>
      </w:r>
      <w:r w:rsidR="00564EC9" w:rsidRPr="00036D26">
        <w:rPr>
          <w:rFonts w:asciiTheme="minorHAnsi" w:hAnsiTheme="minorHAnsi" w:cstheme="majorBidi"/>
          <w:position w:val="-6"/>
          <w:sz w:val="24"/>
          <w:szCs w:val="24"/>
        </w:rPr>
        <w:t>e</w:t>
      </w:r>
      <w:r w:rsidR="00DB033B" w:rsidRPr="00036D26">
        <w:rPr>
          <w:rFonts w:asciiTheme="minorHAnsi" w:hAnsiTheme="minorHAnsi" w:cstheme="majorBidi"/>
          <w:position w:val="-6"/>
          <w:sz w:val="24"/>
          <w:szCs w:val="24"/>
        </w:rPr>
        <w:t>) à</w:t>
      </w:r>
      <w:r w:rsidR="007E5518">
        <w:rPr>
          <w:rFonts w:asciiTheme="minorHAnsi" w:hAnsiTheme="minorHAnsi" w:cstheme="majorBidi"/>
          <w:position w:val="-6"/>
          <w:sz w:val="24"/>
          <w:szCs w:val="24"/>
        </w:rPr>
        <w:t>3</w:t>
      </w:r>
      <w:r w:rsidR="00292711">
        <w:rPr>
          <w:rFonts w:asciiTheme="minorHAnsi" w:hAnsiTheme="minorHAnsi" w:cstheme="majorBidi"/>
          <w:position w:val="-6"/>
          <w:sz w:val="24"/>
          <w:szCs w:val="24"/>
        </w:rPr>
        <w:t>3</w:t>
      </w:r>
      <w:r w:rsidR="007C7F11" w:rsidRPr="00036D26">
        <w:rPr>
          <w:rFonts w:asciiTheme="minorHAnsi" w:hAnsiTheme="minorHAnsi" w:cstheme="majorBidi"/>
          <w:position w:val="-6"/>
          <w:sz w:val="24"/>
          <w:szCs w:val="24"/>
        </w:rPr>
        <w:t>.</w:t>
      </w:r>
      <w:r w:rsidR="007E5518">
        <w:rPr>
          <w:rFonts w:asciiTheme="minorHAnsi" w:hAnsiTheme="minorHAnsi" w:cstheme="majorBidi"/>
          <w:position w:val="-6"/>
          <w:sz w:val="24"/>
          <w:szCs w:val="24"/>
        </w:rPr>
        <w:t>0</w:t>
      </w:r>
      <w:r w:rsidR="00564EC9" w:rsidRPr="00036D26">
        <w:rPr>
          <w:rFonts w:asciiTheme="minorHAnsi" w:hAnsiTheme="minorHAnsi" w:cstheme="majorBidi"/>
          <w:position w:val="-6"/>
          <w:sz w:val="24"/>
          <w:szCs w:val="24"/>
        </w:rPr>
        <w:t>±</w:t>
      </w:r>
      <w:r w:rsidR="007E5518">
        <w:rPr>
          <w:rFonts w:asciiTheme="minorHAnsi" w:hAnsiTheme="minorHAnsi" w:cstheme="majorBidi"/>
          <w:position w:val="-6"/>
          <w:sz w:val="24"/>
          <w:szCs w:val="24"/>
        </w:rPr>
        <w:t>21</w:t>
      </w:r>
      <w:r w:rsidR="00CA3474" w:rsidRPr="00036D26">
        <w:rPr>
          <w:rFonts w:asciiTheme="minorHAnsi" w:hAnsiTheme="minorHAnsi" w:cstheme="majorBidi"/>
          <w:position w:val="-6"/>
          <w:sz w:val="24"/>
          <w:szCs w:val="24"/>
        </w:rPr>
        <w:t>.</w:t>
      </w:r>
      <w:r w:rsidR="007E5518">
        <w:rPr>
          <w:rFonts w:asciiTheme="minorHAnsi" w:hAnsiTheme="minorHAnsi" w:cstheme="majorBidi"/>
          <w:position w:val="-6"/>
          <w:sz w:val="24"/>
          <w:szCs w:val="24"/>
        </w:rPr>
        <w:t>2</w:t>
      </w:r>
      <w:r w:rsidR="005C4A32">
        <w:rPr>
          <w:rFonts w:asciiTheme="minorHAnsi" w:hAnsiTheme="minorHAnsi" w:cstheme="majorBidi"/>
          <w:position w:val="-6"/>
          <w:sz w:val="24"/>
          <w:szCs w:val="24"/>
        </w:rPr>
        <w:t xml:space="preserve"> </w:t>
      </w:r>
      <w:r w:rsidR="00DB033B" w:rsidRPr="00036D26">
        <w:rPr>
          <w:rFonts w:asciiTheme="minorHAnsi" w:hAnsiTheme="minorHAnsi" w:cstheme="majorBidi"/>
          <w:position w:val="-6"/>
          <w:sz w:val="24"/>
          <w:szCs w:val="24"/>
        </w:rPr>
        <w:t>jours pour</w:t>
      </w:r>
      <w:r w:rsidR="00564EC9" w:rsidRPr="00036D26">
        <w:rPr>
          <w:rFonts w:asciiTheme="minorHAnsi" w:hAnsiTheme="minorHAnsi" w:cstheme="majorBidi"/>
          <w:position w:val="-6"/>
          <w:sz w:val="24"/>
          <w:szCs w:val="24"/>
        </w:rPr>
        <w:t xml:space="preserve"> le service de </w:t>
      </w:r>
      <w:r w:rsidR="00112016" w:rsidRPr="00036D26">
        <w:rPr>
          <w:rFonts w:asciiTheme="minorHAnsi" w:hAnsiTheme="minorHAnsi" w:cstheme="majorBidi"/>
          <w:position w:val="-6"/>
          <w:sz w:val="24"/>
          <w:szCs w:val="24"/>
        </w:rPr>
        <w:t xml:space="preserve">médecine </w:t>
      </w:r>
      <w:r w:rsidR="007857D7" w:rsidRPr="00036D26">
        <w:rPr>
          <w:rFonts w:asciiTheme="minorHAnsi" w:hAnsiTheme="minorHAnsi" w:cstheme="majorBidi"/>
          <w:position w:val="-6"/>
          <w:sz w:val="24"/>
          <w:szCs w:val="24"/>
        </w:rPr>
        <w:t>légal</w:t>
      </w:r>
      <w:r w:rsidR="007E1B22">
        <w:rPr>
          <w:rFonts w:asciiTheme="minorHAnsi" w:hAnsiTheme="minorHAnsi" w:cstheme="majorBidi"/>
          <w:position w:val="-6"/>
          <w:sz w:val="24"/>
          <w:szCs w:val="24"/>
        </w:rPr>
        <w:t>e</w:t>
      </w:r>
      <w:r w:rsidR="007857D7" w:rsidRPr="00036D26">
        <w:rPr>
          <w:rFonts w:asciiTheme="minorHAnsi" w:hAnsiTheme="minorHAnsi" w:cstheme="majorBidi"/>
          <w:position w:val="-6"/>
          <w:sz w:val="24"/>
          <w:szCs w:val="24"/>
        </w:rPr>
        <w:t xml:space="preserve">. </w:t>
      </w:r>
      <w:r w:rsidR="00564EC9" w:rsidRPr="00036D26">
        <w:rPr>
          <w:rFonts w:asciiTheme="minorHAnsi" w:hAnsiTheme="minorHAnsi" w:cstheme="majorBidi"/>
          <w:position w:val="-6"/>
          <w:sz w:val="24"/>
          <w:szCs w:val="24"/>
        </w:rPr>
        <w:t>(</w:t>
      </w:r>
      <w:r w:rsidR="007857D7" w:rsidRPr="00036D26">
        <w:rPr>
          <w:rFonts w:asciiTheme="minorHAnsi" w:hAnsiTheme="minorHAnsi" w:cstheme="majorBidi"/>
          <w:position w:val="-6"/>
          <w:sz w:val="24"/>
          <w:szCs w:val="24"/>
        </w:rPr>
        <w:t>Tableau</w:t>
      </w:r>
      <w:r w:rsidR="00564EC9" w:rsidRPr="00036D26">
        <w:rPr>
          <w:rFonts w:asciiTheme="minorHAnsi" w:hAnsiTheme="minorHAnsi" w:cstheme="majorBidi"/>
          <w:position w:val="-6"/>
          <w:sz w:val="24"/>
          <w:szCs w:val="24"/>
        </w:rPr>
        <w:t xml:space="preserve"> 1). </w:t>
      </w:r>
      <w:r w:rsidR="005C4A32">
        <w:rPr>
          <w:rFonts w:asciiTheme="minorHAnsi" w:hAnsiTheme="minorHAnsi" w:cstheme="majorBidi"/>
          <w:position w:val="-6"/>
          <w:sz w:val="24"/>
          <w:szCs w:val="24"/>
        </w:rPr>
        <w:t xml:space="preserve">Sachant que le service d’oncologie ne possédait pas des lits d’hospitalisations, et </w:t>
      </w:r>
      <w:r w:rsidR="007E5518">
        <w:rPr>
          <w:rFonts w:asciiTheme="minorHAnsi" w:hAnsiTheme="minorHAnsi" w:cstheme="majorBidi"/>
          <w:position w:val="-6"/>
          <w:sz w:val="24"/>
          <w:szCs w:val="24"/>
        </w:rPr>
        <w:t xml:space="preserve">l’unique </w:t>
      </w:r>
      <w:r w:rsidR="00843992">
        <w:rPr>
          <w:rFonts w:asciiTheme="minorHAnsi" w:hAnsiTheme="minorHAnsi" w:cstheme="majorBidi"/>
          <w:position w:val="-6"/>
          <w:sz w:val="24"/>
          <w:szCs w:val="24"/>
        </w:rPr>
        <w:t>décès</w:t>
      </w:r>
      <w:r w:rsidR="007E5518">
        <w:rPr>
          <w:rFonts w:asciiTheme="minorHAnsi" w:hAnsiTheme="minorHAnsi" w:cstheme="majorBidi"/>
          <w:position w:val="-6"/>
          <w:sz w:val="24"/>
          <w:szCs w:val="24"/>
        </w:rPr>
        <w:t xml:space="preserve"> enregistré dans le service MPR n’</w:t>
      </w:r>
      <w:r w:rsidR="001671E9">
        <w:rPr>
          <w:rFonts w:asciiTheme="minorHAnsi" w:hAnsiTheme="minorHAnsi" w:cstheme="majorBidi"/>
          <w:position w:val="-6"/>
          <w:sz w:val="24"/>
          <w:szCs w:val="24"/>
        </w:rPr>
        <w:t>était</w:t>
      </w:r>
      <w:r w:rsidR="007E5518">
        <w:rPr>
          <w:rFonts w:asciiTheme="minorHAnsi" w:hAnsiTheme="minorHAnsi" w:cstheme="majorBidi"/>
          <w:position w:val="-6"/>
          <w:sz w:val="24"/>
          <w:szCs w:val="24"/>
        </w:rPr>
        <w:t xml:space="preserve"> pas compté</w:t>
      </w:r>
      <w:r w:rsidR="00843992">
        <w:rPr>
          <w:rFonts w:asciiTheme="minorHAnsi" w:hAnsiTheme="minorHAnsi" w:cstheme="majorBidi"/>
          <w:position w:val="-6"/>
          <w:sz w:val="24"/>
          <w:szCs w:val="24"/>
        </w:rPr>
        <w:t xml:space="preserve"> dans l’analyse</w:t>
      </w:r>
      <w:r w:rsidR="005C4A32">
        <w:rPr>
          <w:rFonts w:asciiTheme="minorHAnsi" w:hAnsiTheme="minorHAnsi" w:cstheme="majorBidi"/>
          <w:position w:val="-6"/>
          <w:sz w:val="24"/>
          <w:szCs w:val="24"/>
        </w:rPr>
        <w:t xml:space="preserve"> </w:t>
      </w:r>
      <w:r w:rsidR="00843992">
        <w:rPr>
          <w:rFonts w:asciiTheme="minorHAnsi" w:hAnsiTheme="minorHAnsi" w:cstheme="majorBidi"/>
          <w:position w:val="-6"/>
          <w:sz w:val="24"/>
          <w:szCs w:val="24"/>
        </w:rPr>
        <w:t xml:space="preserve">à cause de </w:t>
      </w:r>
      <w:r w:rsidR="007E5518">
        <w:rPr>
          <w:rFonts w:asciiTheme="minorHAnsi" w:hAnsiTheme="minorHAnsi" w:cstheme="majorBidi"/>
          <w:position w:val="-6"/>
          <w:sz w:val="24"/>
          <w:szCs w:val="24"/>
        </w:rPr>
        <w:t xml:space="preserve">sa longue durée de séjour (208 jours) pour des raisons sociales </w:t>
      </w:r>
      <w:r w:rsidR="00843992">
        <w:rPr>
          <w:rFonts w:asciiTheme="minorHAnsi" w:hAnsiTheme="minorHAnsi" w:cstheme="majorBidi"/>
          <w:position w:val="-6"/>
          <w:sz w:val="24"/>
          <w:szCs w:val="24"/>
        </w:rPr>
        <w:t>(le</w:t>
      </w:r>
      <w:r w:rsidR="007E5518">
        <w:rPr>
          <w:rFonts w:asciiTheme="minorHAnsi" w:hAnsiTheme="minorHAnsi" w:cstheme="majorBidi"/>
          <w:position w:val="-6"/>
          <w:sz w:val="24"/>
          <w:szCs w:val="24"/>
        </w:rPr>
        <w:t xml:space="preserve"> décès fait partie du corps paramédical du service). </w:t>
      </w:r>
    </w:p>
    <w:p w:rsidR="001A594C" w:rsidRPr="002E6C68" w:rsidRDefault="001A594C" w:rsidP="007C7F11">
      <w:pPr>
        <w:jc w:val="both"/>
        <w:rPr>
          <w:rFonts w:asciiTheme="minorHAnsi" w:hAnsiTheme="minorHAnsi" w:cstheme="majorBidi"/>
          <w:position w:val="-6"/>
          <w:sz w:val="12"/>
          <w:szCs w:val="12"/>
        </w:rPr>
      </w:pPr>
    </w:p>
    <w:p w:rsidR="00036D26" w:rsidRPr="000320E3" w:rsidRDefault="00036D26" w:rsidP="007C7F11">
      <w:pPr>
        <w:jc w:val="both"/>
        <w:rPr>
          <w:rFonts w:asciiTheme="minorHAnsi" w:hAnsiTheme="minorHAnsi" w:cstheme="majorBidi"/>
          <w:position w:val="-6"/>
          <w:sz w:val="2"/>
          <w:szCs w:val="2"/>
        </w:rPr>
      </w:pPr>
    </w:p>
    <w:p w:rsidR="00573A34" w:rsidRPr="00AA3FD0" w:rsidRDefault="00E168DC" w:rsidP="00D37701">
      <w:pPr>
        <w:rPr>
          <w:rFonts w:asciiTheme="minorHAnsi" w:hAnsiTheme="minorHAnsi" w:cstheme="majorBidi"/>
          <w:position w:val="-6"/>
          <w:sz w:val="24"/>
          <w:szCs w:val="24"/>
        </w:rPr>
      </w:pPr>
      <w:r w:rsidRPr="00AA3FD0">
        <w:rPr>
          <w:rFonts w:asciiTheme="minorHAnsi" w:hAnsiTheme="minorHAnsi" w:cstheme="majorBidi"/>
          <w:position w:val="-6"/>
          <w:sz w:val="24"/>
          <w:szCs w:val="24"/>
          <w:u w:val="single"/>
        </w:rPr>
        <w:t>Tableau 1.</w:t>
      </w:r>
      <w:r w:rsidRPr="00AA3FD0">
        <w:rPr>
          <w:rFonts w:asciiTheme="minorHAnsi" w:hAnsiTheme="minorHAnsi" w:cstheme="majorBidi"/>
          <w:position w:val="-6"/>
          <w:sz w:val="24"/>
          <w:szCs w:val="24"/>
        </w:rPr>
        <w:t xml:space="preserve">Répartition des </w:t>
      </w:r>
      <w:r w:rsidR="00D37701">
        <w:rPr>
          <w:rFonts w:asciiTheme="minorHAnsi" w:hAnsiTheme="minorHAnsi" w:cstheme="majorBidi"/>
          <w:position w:val="-6"/>
          <w:sz w:val="24"/>
          <w:szCs w:val="24"/>
        </w:rPr>
        <w:t>1633</w:t>
      </w:r>
      <w:r w:rsidR="0062631B" w:rsidRPr="00AA3FD0">
        <w:rPr>
          <w:rFonts w:asciiTheme="minorHAnsi" w:hAnsiTheme="minorHAnsi" w:cstheme="majorBidi"/>
          <w:position w:val="-6"/>
          <w:sz w:val="24"/>
          <w:szCs w:val="24"/>
        </w:rPr>
        <w:t>décès</w:t>
      </w:r>
      <w:r w:rsidR="00573A34" w:rsidRPr="00AA3FD0">
        <w:rPr>
          <w:rFonts w:asciiTheme="minorHAnsi" w:hAnsiTheme="minorHAnsi" w:cstheme="majorBidi"/>
          <w:position w:val="-6"/>
          <w:sz w:val="24"/>
          <w:szCs w:val="24"/>
        </w:rPr>
        <w:t xml:space="preserve"> survenus au CHU de Blida en fonction du service et de </w:t>
      </w:r>
      <w:r w:rsidR="00AA68C7" w:rsidRPr="00AA3FD0">
        <w:rPr>
          <w:rFonts w:asciiTheme="minorHAnsi" w:hAnsiTheme="minorHAnsi" w:cstheme="majorBidi"/>
          <w:position w:val="-6"/>
          <w:sz w:val="24"/>
          <w:szCs w:val="24"/>
        </w:rPr>
        <w:t>l</w:t>
      </w:r>
      <w:r w:rsidR="00BE0D41" w:rsidRPr="00AA3FD0">
        <w:rPr>
          <w:rFonts w:asciiTheme="minorHAnsi" w:hAnsiTheme="minorHAnsi" w:cstheme="majorBidi"/>
          <w:position w:val="-6"/>
          <w:sz w:val="24"/>
          <w:szCs w:val="24"/>
        </w:rPr>
        <w:t xml:space="preserve">a durée de séjour   </w:t>
      </w:r>
      <w:r w:rsidR="00C00B2E" w:rsidRPr="00AA3FD0">
        <w:rPr>
          <w:rFonts w:asciiTheme="minorHAnsi" w:hAnsiTheme="minorHAnsi" w:cstheme="majorBidi"/>
          <w:position w:val="-6"/>
          <w:sz w:val="24"/>
          <w:szCs w:val="24"/>
        </w:rPr>
        <w:t>pendant l’</w:t>
      </w:r>
      <w:r w:rsidR="00BE0D41" w:rsidRPr="00AA3FD0">
        <w:rPr>
          <w:rFonts w:asciiTheme="minorHAnsi" w:hAnsiTheme="minorHAnsi" w:cstheme="majorBidi"/>
          <w:position w:val="-6"/>
          <w:sz w:val="24"/>
          <w:szCs w:val="24"/>
        </w:rPr>
        <w:t xml:space="preserve">année </w:t>
      </w:r>
      <w:r w:rsidR="00870DD5" w:rsidRPr="00AA3FD0">
        <w:rPr>
          <w:rFonts w:asciiTheme="minorHAnsi" w:hAnsiTheme="minorHAnsi" w:cstheme="majorBidi"/>
          <w:position w:val="-6"/>
          <w:sz w:val="24"/>
          <w:szCs w:val="24"/>
        </w:rPr>
        <w:t>201</w:t>
      </w:r>
      <w:r w:rsidR="00D37701">
        <w:rPr>
          <w:rFonts w:asciiTheme="minorHAnsi" w:hAnsiTheme="minorHAnsi" w:cstheme="majorBidi"/>
          <w:position w:val="-6"/>
          <w:sz w:val="24"/>
          <w:szCs w:val="24"/>
        </w:rPr>
        <w:t>8</w:t>
      </w:r>
    </w:p>
    <w:p w:rsidR="007857D7" w:rsidRPr="00036D26" w:rsidRDefault="007857D7" w:rsidP="000A5A8C">
      <w:pPr>
        <w:rPr>
          <w:rFonts w:asciiTheme="minorHAnsi" w:hAnsiTheme="minorHAnsi" w:cstheme="majorBidi"/>
          <w:b/>
          <w:bCs/>
          <w:position w:val="-6"/>
          <w:sz w:val="24"/>
          <w:szCs w:val="24"/>
        </w:rPr>
      </w:pPr>
    </w:p>
    <w:p w:rsidR="00036D26" w:rsidRPr="00036D26" w:rsidRDefault="00036D26" w:rsidP="000A5A8C">
      <w:pPr>
        <w:rPr>
          <w:rFonts w:asciiTheme="minorHAnsi" w:hAnsiTheme="minorHAnsi" w:cstheme="majorBidi"/>
          <w:b/>
          <w:bCs/>
          <w:position w:val="-6"/>
          <w:sz w:val="24"/>
          <w:szCs w:val="24"/>
        </w:rPr>
      </w:pPr>
    </w:p>
    <w:tbl>
      <w:tblPr>
        <w:tblStyle w:val="Listemoyenne2-Accent1"/>
        <w:tblW w:w="5000" w:type="pct"/>
        <w:tblLook w:val="04A0"/>
      </w:tblPr>
      <w:tblGrid>
        <w:gridCol w:w="2933"/>
        <w:gridCol w:w="910"/>
        <w:gridCol w:w="900"/>
        <w:gridCol w:w="911"/>
        <w:gridCol w:w="902"/>
        <w:gridCol w:w="1149"/>
        <w:gridCol w:w="783"/>
        <w:gridCol w:w="1083"/>
      </w:tblGrid>
      <w:tr w:rsidR="00BE5E55" w:rsidRPr="00036D26" w:rsidTr="001671E9">
        <w:trPr>
          <w:cnfStyle w:val="100000000000"/>
          <w:trHeight w:val="315"/>
        </w:trPr>
        <w:tc>
          <w:tcPr>
            <w:cnfStyle w:val="001000000100"/>
            <w:tcW w:w="1533" w:type="pct"/>
            <w:tcBorders>
              <w:top w:val="outset" w:sz="6" w:space="0" w:color="548DD4" w:themeColor="text2" w:themeTint="99"/>
              <w:left w:val="outset" w:sz="6" w:space="0" w:color="548DD4" w:themeColor="text2" w:themeTint="99"/>
              <w:bottom w:val="outset" w:sz="6" w:space="0" w:color="548DD4" w:themeColor="text2" w:themeTint="99"/>
            </w:tcBorders>
            <w:hideMark/>
          </w:tcPr>
          <w:p w:rsidR="00BE5E55" w:rsidRPr="00036D26" w:rsidRDefault="00BE5E55" w:rsidP="00E521F6">
            <w:pPr>
              <w:overflowPunct/>
              <w:autoSpaceDE/>
              <w:autoSpaceDN/>
              <w:adjustRightInd/>
              <w:jc w:val="center"/>
              <w:textAlignment w:val="auto"/>
              <w:rPr>
                <w:rFonts w:asciiTheme="minorHAnsi" w:hAnsiTheme="minorHAnsi"/>
                <w:position w:val="-6"/>
              </w:rPr>
            </w:pPr>
          </w:p>
          <w:p w:rsidR="007857D7" w:rsidRPr="00036D26" w:rsidRDefault="007857D7" w:rsidP="007857D7">
            <w:pPr>
              <w:overflowPunct/>
              <w:autoSpaceDE/>
              <w:autoSpaceDN/>
              <w:adjustRightInd/>
              <w:textAlignment w:val="auto"/>
              <w:rPr>
                <w:rFonts w:asciiTheme="minorHAnsi" w:hAnsiTheme="minorHAnsi"/>
                <w:position w:val="-6"/>
              </w:rPr>
            </w:pPr>
          </w:p>
          <w:p w:rsidR="0062631B" w:rsidRPr="00036D26" w:rsidRDefault="0062631B" w:rsidP="00E521F6">
            <w:pPr>
              <w:overflowPunct/>
              <w:autoSpaceDE/>
              <w:autoSpaceDN/>
              <w:adjustRightInd/>
              <w:jc w:val="center"/>
              <w:textAlignment w:val="auto"/>
              <w:rPr>
                <w:rFonts w:asciiTheme="minorHAnsi" w:hAnsiTheme="minorHAnsi"/>
                <w:position w:val="-6"/>
              </w:rPr>
            </w:pPr>
          </w:p>
        </w:tc>
        <w:tc>
          <w:tcPr>
            <w:tcW w:w="945" w:type="pct"/>
            <w:gridSpan w:val="2"/>
            <w:tcBorders>
              <w:top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cnfStyle w:val="100000000000"/>
              <w:rPr>
                <w:rFonts w:asciiTheme="minorHAnsi" w:hAnsiTheme="minorHAnsi"/>
                <w:position w:val="-6"/>
              </w:rPr>
            </w:pPr>
            <w:r w:rsidRPr="00AA3FD0">
              <w:rPr>
                <w:rFonts w:asciiTheme="minorHAnsi" w:hAnsiTheme="minorHAnsi"/>
                <w:position w:val="-6"/>
              </w:rPr>
              <w:t>Décès</w:t>
            </w:r>
          </w:p>
        </w:tc>
        <w:tc>
          <w:tcPr>
            <w:tcW w:w="947" w:type="pct"/>
            <w:gridSpan w:val="2"/>
            <w:tcBorders>
              <w:top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cnfStyle w:val="100000000000"/>
              <w:rPr>
                <w:rFonts w:asciiTheme="minorHAnsi" w:hAnsiTheme="minorHAnsi"/>
                <w:position w:val="-6"/>
              </w:rPr>
            </w:pPr>
            <w:r w:rsidRPr="00AA3FD0">
              <w:rPr>
                <w:rFonts w:asciiTheme="minorHAnsi" w:hAnsiTheme="minorHAnsi"/>
                <w:position w:val="-6"/>
              </w:rPr>
              <w:t>Journées consommées</w:t>
            </w:r>
          </w:p>
        </w:tc>
        <w:tc>
          <w:tcPr>
            <w:tcW w:w="1575" w:type="pct"/>
            <w:gridSpan w:val="3"/>
            <w:tcBorders>
              <w:top w:val="outset" w:sz="6" w:space="0" w:color="548DD4" w:themeColor="text2" w:themeTint="99"/>
              <w:bottom w:val="outset" w:sz="6" w:space="0" w:color="548DD4" w:themeColor="text2" w:themeTint="99"/>
              <w:right w:val="inset" w:sz="6" w:space="0" w:color="548DD4" w:themeColor="text2" w:themeTint="99"/>
            </w:tcBorders>
            <w:hideMark/>
          </w:tcPr>
          <w:p w:rsidR="00BE5E55" w:rsidRPr="00AA3FD0" w:rsidRDefault="00BE5E55" w:rsidP="00E521F6">
            <w:pPr>
              <w:overflowPunct/>
              <w:autoSpaceDE/>
              <w:autoSpaceDN/>
              <w:adjustRightInd/>
              <w:jc w:val="center"/>
              <w:textAlignment w:val="auto"/>
              <w:cnfStyle w:val="100000000000"/>
              <w:rPr>
                <w:rFonts w:asciiTheme="minorHAnsi" w:hAnsiTheme="minorHAnsi"/>
                <w:position w:val="-6"/>
              </w:rPr>
            </w:pPr>
            <w:r w:rsidRPr="00AA3FD0">
              <w:rPr>
                <w:rFonts w:asciiTheme="minorHAnsi" w:hAnsiTheme="minorHAnsi"/>
                <w:position w:val="-6"/>
              </w:rPr>
              <w:t>Durée de séjour</w:t>
            </w:r>
          </w:p>
        </w:tc>
      </w:tr>
      <w:tr w:rsidR="00BE5E55" w:rsidRPr="00036D26" w:rsidTr="001671E9">
        <w:trPr>
          <w:cnfStyle w:val="000000100000"/>
          <w:trHeight w:val="7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rPr>
                <w:rFonts w:asciiTheme="minorHAnsi" w:hAnsiTheme="minorHAnsi"/>
                <w:position w:val="-6"/>
                <w:sz w:val="24"/>
                <w:szCs w:val="24"/>
              </w:rPr>
            </w:pPr>
            <w:r w:rsidRPr="00AA3FD0">
              <w:rPr>
                <w:rFonts w:asciiTheme="minorHAnsi" w:hAnsiTheme="minorHAnsi"/>
                <w:position w:val="-6"/>
                <w:sz w:val="24"/>
                <w:szCs w:val="24"/>
              </w:rPr>
              <w:t>Service</w:t>
            </w:r>
          </w:p>
        </w:tc>
        <w:tc>
          <w:tcPr>
            <w:tcW w:w="475" w:type="pct"/>
            <w:tcBorders>
              <w:top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cnfStyle w:val="000000100000"/>
              <w:rPr>
                <w:rFonts w:asciiTheme="minorHAnsi" w:hAnsiTheme="minorHAnsi"/>
                <w:position w:val="-6"/>
                <w:sz w:val="24"/>
                <w:szCs w:val="24"/>
              </w:rPr>
            </w:pPr>
            <w:r w:rsidRPr="00AA3FD0">
              <w:rPr>
                <w:rFonts w:asciiTheme="minorHAnsi" w:hAnsiTheme="minorHAnsi"/>
                <w:position w:val="-6"/>
                <w:sz w:val="24"/>
                <w:szCs w:val="24"/>
              </w:rPr>
              <w:t>Effectif</w:t>
            </w:r>
          </w:p>
        </w:tc>
        <w:tc>
          <w:tcPr>
            <w:tcW w:w="470" w:type="pct"/>
            <w:tcBorders>
              <w:top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cnfStyle w:val="000000100000"/>
              <w:rPr>
                <w:rFonts w:asciiTheme="minorHAnsi" w:hAnsiTheme="minorHAnsi"/>
                <w:position w:val="-6"/>
                <w:sz w:val="24"/>
                <w:szCs w:val="24"/>
              </w:rPr>
            </w:pPr>
            <w:r w:rsidRPr="00AA3FD0">
              <w:rPr>
                <w:rFonts w:asciiTheme="minorHAnsi" w:hAnsiTheme="minorHAnsi"/>
                <w:position w:val="-6"/>
                <w:sz w:val="24"/>
                <w:szCs w:val="24"/>
              </w:rPr>
              <w:t>%</w:t>
            </w:r>
          </w:p>
        </w:tc>
        <w:tc>
          <w:tcPr>
            <w:tcW w:w="476" w:type="pct"/>
            <w:tcBorders>
              <w:top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cnfStyle w:val="000000100000"/>
              <w:rPr>
                <w:rFonts w:asciiTheme="minorHAnsi" w:hAnsiTheme="minorHAnsi"/>
                <w:position w:val="-6"/>
                <w:sz w:val="24"/>
                <w:szCs w:val="24"/>
              </w:rPr>
            </w:pPr>
            <w:r w:rsidRPr="00AA3FD0">
              <w:rPr>
                <w:rFonts w:asciiTheme="minorHAnsi" w:hAnsiTheme="minorHAnsi"/>
                <w:position w:val="-6"/>
                <w:sz w:val="24"/>
                <w:szCs w:val="24"/>
              </w:rPr>
              <w:t>Effectif</w:t>
            </w:r>
          </w:p>
        </w:tc>
        <w:tc>
          <w:tcPr>
            <w:tcW w:w="471" w:type="pct"/>
            <w:tcBorders>
              <w:top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cnfStyle w:val="000000100000"/>
              <w:rPr>
                <w:rFonts w:asciiTheme="minorHAnsi" w:hAnsiTheme="minorHAnsi"/>
                <w:position w:val="-6"/>
                <w:sz w:val="24"/>
                <w:szCs w:val="24"/>
              </w:rPr>
            </w:pPr>
            <w:r w:rsidRPr="00AA3FD0">
              <w:rPr>
                <w:rFonts w:asciiTheme="minorHAnsi" w:hAnsiTheme="minorHAnsi"/>
                <w:position w:val="-6"/>
                <w:sz w:val="24"/>
                <w:szCs w:val="24"/>
              </w:rPr>
              <w:t>%</w:t>
            </w:r>
          </w:p>
        </w:tc>
        <w:tc>
          <w:tcPr>
            <w:tcW w:w="600" w:type="pct"/>
            <w:tcBorders>
              <w:top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cnfStyle w:val="000000100000"/>
              <w:rPr>
                <w:rFonts w:asciiTheme="minorHAnsi" w:hAnsiTheme="minorHAnsi"/>
                <w:position w:val="-6"/>
                <w:sz w:val="24"/>
                <w:szCs w:val="24"/>
              </w:rPr>
            </w:pPr>
            <w:r w:rsidRPr="00AA3FD0">
              <w:rPr>
                <w:rFonts w:asciiTheme="minorHAnsi" w:hAnsiTheme="minorHAnsi"/>
                <w:position w:val="-6"/>
                <w:sz w:val="24"/>
                <w:szCs w:val="24"/>
              </w:rPr>
              <w:t>Moyenne</w:t>
            </w:r>
          </w:p>
        </w:tc>
        <w:tc>
          <w:tcPr>
            <w:tcW w:w="409" w:type="pct"/>
            <w:tcBorders>
              <w:top w:val="outset" w:sz="6" w:space="0" w:color="548DD4" w:themeColor="text2" w:themeTint="99"/>
              <w:bottom w:val="outset" w:sz="6" w:space="0" w:color="548DD4" w:themeColor="text2" w:themeTint="99"/>
            </w:tcBorders>
            <w:hideMark/>
          </w:tcPr>
          <w:p w:rsidR="00BE5E55" w:rsidRPr="00AA3FD0" w:rsidRDefault="00BE5E55" w:rsidP="00E521F6">
            <w:pPr>
              <w:overflowPunct/>
              <w:autoSpaceDE/>
              <w:autoSpaceDN/>
              <w:adjustRightInd/>
              <w:jc w:val="center"/>
              <w:textAlignment w:val="auto"/>
              <w:cnfStyle w:val="000000100000"/>
              <w:rPr>
                <w:rFonts w:asciiTheme="minorHAnsi" w:hAnsiTheme="minorHAnsi"/>
                <w:position w:val="-6"/>
                <w:sz w:val="24"/>
                <w:szCs w:val="24"/>
              </w:rPr>
            </w:pPr>
            <w:r w:rsidRPr="00AA3FD0">
              <w:rPr>
                <w:rFonts w:asciiTheme="minorHAnsi" w:hAnsiTheme="minorHAnsi"/>
                <w:position w:val="-6"/>
                <w:sz w:val="24"/>
                <w:szCs w:val="24"/>
              </w:rPr>
              <w:t>Ecart Type</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hideMark/>
          </w:tcPr>
          <w:p w:rsidR="00BE5E55" w:rsidRPr="00AA3FD0" w:rsidRDefault="00BE5E55" w:rsidP="00E521F6">
            <w:pPr>
              <w:overflowPunct/>
              <w:autoSpaceDE/>
              <w:autoSpaceDN/>
              <w:adjustRightInd/>
              <w:jc w:val="center"/>
              <w:textAlignment w:val="auto"/>
              <w:cnfStyle w:val="000000100000"/>
              <w:rPr>
                <w:rFonts w:asciiTheme="minorHAnsi" w:hAnsiTheme="minorHAnsi"/>
                <w:position w:val="-6"/>
                <w:sz w:val="24"/>
                <w:szCs w:val="24"/>
              </w:rPr>
            </w:pPr>
            <w:r w:rsidRPr="00AA3FD0">
              <w:rPr>
                <w:rFonts w:asciiTheme="minorHAnsi" w:hAnsiTheme="minorHAnsi"/>
                <w:position w:val="-6"/>
                <w:sz w:val="24"/>
                <w:szCs w:val="24"/>
              </w:rPr>
              <w:t>Médiane</w:t>
            </w:r>
          </w:p>
        </w:tc>
      </w:tr>
      <w:tr w:rsidR="001671E9" w:rsidRPr="00036D26" w:rsidTr="001671E9">
        <w:trPr>
          <w:trHeight w:val="304"/>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UMC</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915</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56,0</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4492</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45,2</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4,9</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9.1</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2.0</w:t>
            </w:r>
          </w:p>
        </w:tc>
      </w:tr>
      <w:tr w:rsidR="001671E9" w:rsidRPr="00036D26" w:rsidTr="001671E9">
        <w:trPr>
          <w:cnfStyle w:val="000000100000"/>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Pédiatrie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344</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21,1</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1992</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20,0</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5,8</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11.0</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2.0</w:t>
            </w:r>
          </w:p>
        </w:tc>
      </w:tr>
      <w:tr w:rsidR="001671E9" w:rsidRPr="00036D26" w:rsidTr="001671E9">
        <w:trPr>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Neurologie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74</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4,5</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541</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5,4</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7,3</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7.1</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5.0</w:t>
            </w:r>
          </w:p>
        </w:tc>
      </w:tr>
      <w:tr w:rsidR="001671E9" w:rsidRPr="00036D26" w:rsidTr="001671E9">
        <w:trPr>
          <w:cnfStyle w:val="000000100000"/>
          <w:trHeight w:val="330"/>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Médecine interne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68</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4,2</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267</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2,7</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3,9</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9.4</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1.0</w:t>
            </w:r>
          </w:p>
        </w:tc>
      </w:tr>
      <w:tr w:rsidR="001671E9" w:rsidRPr="00036D26" w:rsidTr="001671E9">
        <w:trPr>
          <w:trHeight w:val="388"/>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Chirurgie infantil</w:t>
            </w:r>
            <w:r>
              <w:rPr>
                <w:rFonts w:ascii="Arial" w:hAnsi="Arial" w:cs="Arial"/>
                <w:color w:val="000000"/>
                <w:sz w:val="18"/>
                <w:szCs w:val="18"/>
              </w:rPr>
              <w:t>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65</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4,0</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484</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4,9</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7,4</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15.5</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3.0</w:t>
            </w:r>
          </w:p>
        </w:tc>
      </w:tr>
      <w:tr w:rsidR="001671E9" w:rsidRPr="00036D26" w:rsidTr="001671E9">
        <w:trPr>
          <w:cnfStyle w:val="000000100000"/>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Chirurgie générale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62</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3,8</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911</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9,2</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14,7</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20.2</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10.0</w:t>
            </w:r>
          </w:p>
        </w:tc>
      </w:tr>
      <w:tr w:rsidR="001671E9" w:rsidRPr="00036D26" w:rsidTr="001671E9">
        <w:trPr>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Neurochirurgie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54</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3,3</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814</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8,2</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15,1</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15.6</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10.0</w:t>
            </w:r>
          </w:p>
        </w:tc>
      </w:tr>
      <w:tr w:rsidR="001671E9" w:rsidRPr="00036D26" w:rsidTr="001671E9">
        <w:trPr>
          <w:cnfStyle w:val="000000100000"/>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Oncologie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25</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1,5</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36</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0,4</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1,4</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1.6</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1.0</w:t>
            </w:r>
          </w:p>
        </w:tc>
      </w:tr>
      <w:tr w:rsidR="001671E9" w:rsidRPr="00036D26" w:rsidTr="001671E9">
        <w:trPr>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Gynécologie obstétrique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9</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0,6</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67</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0,7</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7,4</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9.2</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1.0</w:t>
            </w:r>
          </w:p>
        </w:tc>
      </w:tr>
      <w:tr w:rsidR="001671E9" w:rsidRPr="00036D26" w:rsidTr="001671E9">
        <w:trPr>
          <w:cnfStyle w:val="000000100000"/>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ORL</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7</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0,4</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15</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0,2</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2,1</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3.8</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4F0361" w:rsidP="003B562C">
            <w:pPr>
              <w:spacing w:line="320" w:lineRule="atLeast"/>
              <w:ind w:left="60" w:right="60"/>
              <w:jc w:val="right"/>
              <w:cnfStyle w:val="000000100000"/>
              <w:rPr>
                <w:rFonts w:ascii="Arial" w:hAnsi="Arial" w:cs="Arial"/>
                <w:color w:val="000000"/>
                <w:sz w:val="18"/>
                <w:szCs w:val="18"/>
              </w:rPr>
            </w:pPr>
            <w:r>
              <w:rPr>
                <w:rFonts w:ascii="Arial" w:hAnsi="Arial" w:cs="Arial"/>
                <w:color w:val="000000"/>
                <w:sz w:val="18"/>
                <w:szCs w:val="18"/>
              </w:rPr>
              <w:t>0</w:t>
            </w:r>
            <w:r w:rsidR="001671E9" w:rsidRPr="008F6B0F">
              <w:rPr>
                <w:rFonts w:ascii="Arial" w:hAnsi="Arial" w:cs="Arial"/>
                <w:color w:val="000000"/>
                <w:sz w:val="18"/>
                <w:szCs w:val="18"/>
              </w:rPr>
              <w:t>.0</w:t>
            </w:r>
          </w:p>
        </w:tc>
      </w:tr>
      <w:tr w:rsidR="001671E9" w:rsidRPr="00036D26" w:rsidTr="001671E9">
        <w:trPr>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Orthopédie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7</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0,4</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52</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0,5</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7,4</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8.2</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5.0</w:t>
            </w:r>
          </w:p>
        </w:tc>
      </w:tr>
      <w:tr w:rsidR="001671E9" w:rsidRPr="00036D26" w:rsidTr="001671E9">
        <w:trPr>
          <w:cnfStyle w:val="000000100000"/>
          <w:trHeight w:val="315"/>
        </w:trPr>
        <w:tc>
          <w:tcPr>
            <w:cnfStyle w:val="001000000000"/>
            <w:tcW w:w="1533" w:type="pct"/>
            <w:tcBorders>
              <w:top w:val="outset" w:sz="6" w:space="0" w:color="548DD4" w:themeColor="text2" w:themeTint="99"/>
              <w:left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Médecine légale</w:t>
            </w:r>
          </w:p>
        </w:tc>
        <w:tc>
          <w:tcPr>
            <w:tcW w:w="475"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w:t>
            </w:r>
          </w:p>
        </w:tc>
        <w:tc>
          <w:tcPr>
            <w:tcW w:w="47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0,1</w:t>
            </w:r>
          </w:p>
        </w:tc>
        <w:tc>
          <w:tcPr>
            <w:tcW w:w="476"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66</w:t>
            </w:r>
          </w:p>
        </w:tc>
        <w:tc>
          <w:tcPr>
            <w:tcW w:w="471"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0,7</w:t>
            </w:r>
          </w:p>
        </w:tc>
        <w:tc>
          <w:tcPr>
            <w:tcW w:w="600"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33,0</w:t>
            </w:r>
          </w:p>
        </w:tc>
        <w:tc>
          <w:tcPr>
            <w:tcW w:w="409" w:type="pct"/>
            <w:tcBorders>
              <w:top w:val="outset" w:sz="6" w:space="0" w:color="548DD4" w:themeColor="text2" w:themeTint="99"/>
              <w:bottom w:val="out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21.2</w:t>
            </w:r>
          </w:p>
        </w:tc>
        <w:tc>
          <w:tcPr>
            <w:tcW w:w="566" w:type="pct"/>
            <w:tcBorders>
              <w:top w:val="outset" w:sz="6" w:space="0" w:color="548DD4" w:themeColor="text2" w:themeTint="99"/>
              <w:bottom w:val="out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33.0</w:t>
            </w:r>
          </w:p>
        </w:tc>
      </w:tr>
      <w:tr w:rsidR="001671E9" w:rsidRPr="00036D26" w:rsidTr="001671E9">
        <w:trPr>
          <w:trHeight w:val="315"/>
        </w:trPr>
        <w:tc>
          <w:tcPr>
            <w:cnfStyle w:val="001000000000"/>
            <w:tcW w:w="1533" w:type="pct"/>
            <w:tcBorders>
              <w:top w:val="outset" w:sz="6" w:space="0" w:color="548DD4" w:themeColor="text2" w:themeTint="99"/>
              <w:left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Pr>
                <w:rFonts w:ascii="Arial" w:hAnsi="Arial" w:cs="Arial"/>
                <w:color w:val="000000"/>
                <w:sz w:val="18"/>
                <w:szCs w:val="18"/>
              </w:rPr>
              <w:t>MPR</w:t>
            </w:r>
          </w:p>
        </w:tc>
        <w:tc>
          <w:tcPr>
            <w:tcW w:w="475"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1</w:t>
            </w:r>
          </w:p>
        </w:tc>
        <w:tc>
          <w:tcPr>
            <w:tcW w:w="470"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0,1</w:t>
            </w:r>
          </w:p>
        </w:tc>
        <w:tc>
          <w:tcPr>
            <w:tcW w:w="476"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208</w:t>
            </w:r>
          </w:p>
        </w:tc>
        <w:tc>
          <w:tcPr>
            <w:tcW w:w="471"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2,1</w:t>
            </w:r>
          </w:p>
        </w:tc>
        <w:tc>
          <w:tcPr>
            <w:tcW w:w="600"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208,0</w:t>
            </w:r>
          </w:p>
        </w:tc>
        <w:tc>
          <w:tcPr>
            <w:tcW w:w="409"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w:t>
            </w:r>
          </w:p>
        </w:tc>
        <w:tc>
          <w:tcPr>
            <w:tcW w:w="566" w:type="pct"/>
            <w:tcBorders>
              <w:top w:val="outset" w:sz="6" w:space="0" w:color="548DD4" w:themeColor="text2" w:themeTint="99"/>
              <w:bottom w:val="in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000000"/>
              <w:rPr>
                <w:rFonts w:ascii="Arial" w:hAnsi="Arial" w:cs="Arial"/>
                <w:color w:val="000000"/>
                <w:sz w:val="18"/>
                <w:szCs w:val="18"/>
              </w:rPr>
            </w:pPr>
            <w:r w:rsidRPr="008F6B0F">
              <w:rPr>
                <w:rFonts w:ascii="Arial" w:hAnsi="Arial" w:cs="Arial"/>
                <w:color w:val="000000"/>
                <w:sz w:val="18"/>
                <w:szCs w:val="18"/>
              </w:rPr>
              <w:t>208.0</w:t>
            </w:r>
          </w:p>
        </w:tc>
      </w:tr>
      <w:tr w:rsidR="001671E9" w:rsidRPr="00036D26" w:rsidTr="001671E9">
        <w:trPr>
          <w:cnfStyle w:val="000000100000"/>
          <w:trHeight w:val="315"/>
        </w:trPr>
        <w:tc>
          <w:tcPr>
            <w:cnfStyle w:val="001000000000"/>
            <w:tcW w:w="1533" w:type="pct"/>
            <w:tcBorders>
              <w:top w:val="outset" w:sz="6" w:space="0" w:color="548DD4" w:themeColor="text2" w:themeTint="99"/>
              <w:left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rPr>
                <w:rFonts w:ascii="Arial" w:hAnsi="Arial" w:cs="Arial"/>
                <w:color w:val="000000"/>
                <w:sz w:val="18"/>
                <w:szCs w:val="18"/>
              </w:rPr>
            </w:pPr>
            <w:r w:rsidRPr="008F6B0F">
              <w:rPr>
                <w:rFonts w:ascii="Arial" w:hAnsi="Arial" w:cs="Arial"/>
                <w:color w:val="000000"/>
                <w:sz w:val="18"/>
                <w:szCs w:val="18"/>
              </w:rPr>
              <w:t>Total</w:t>
            </w:r>
          </w:p>
        </w:tc>
        <w:tc>
          <w:tcPr>
            <w:tcW w:w="475"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1633</w:t>
            </w:r>
          </w:p>
        </w:tc>
        <w:tc>
          <w:tcPr>
            <w:tcW w:w="470"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100,0</w:t>
            </w:r>
          </w:p>
        </w:tc>
        <w:tc>
          <w:tcPr>
            <w:tcW w:w="476"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9945</w:t>
            </w:r>
          </w:p>
        </w:tc>
        <w:tc>
          <w:tcPr>
            <w:tcW w:w="471"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100,0</w:t>
            </w:r>
          </w:p>
        </w:tc>
        <w:tc>
          <w:tcPr>
            <w:tcW w:w="600"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6,1</w:t>
            </w:r>
          </w:p>
        </w:tc>
        <w:tc>
          <w:tcPr>
            <w:tcW w:w="409" w:type="pct"/>
            <w:tcBorders>
              <w:top w:val="outset" w:sz="6" w:space="0" w:color="548DD4" w:themeColor="text2" w:themeTint="99"/>
              <w:bottom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12.0</w:t>
            </w:r>
          </w:p>
        </w:tc>
        <w:tc>
          <w:tcPr>
            <w:tcW w:w="566" w:type="pct"/>
            <w:tcBorders>
              <w:top w:val="outset" w:sz="6" w:space="0" w:color="548DD4" w:themeColor="text2" w:themeTint="99"/>
              <w:bottom w:val="inset" w:sz="6" w:space="0" w:color="548DD4" w:themeColor="text2" w:themeTint="99"/>
              <w:right w:val="inset" w:sz="6" w:space="0" w:color="548DD4" w:themeColor="text2" w:themeTint="99"/>
            </w:tcBorders>
          </w:tcPr>
          <w:p w:rsidR="001671E9" w:rsidRPr="008F6B0F" w:rsidRDefault="001671E9" w:rsidP="003B562C">
            <w:pPr>
              <w:spacing w:line="320" w:lineRule="atLeast"/>
              <w:ind w:left="60" w:right="60"/>
              <w:jc w:val="right"/>
              <w:cnfStyle w:val="000000100000"/>
              <w:rPr>
                <w:rFonts w:ascii="Arial" w:hAnsi="Arial" w:cs="Arial"/>
                <w:color w:val="000000"/>
                <w:sz w:val="18"/>
                <w:szCs w:val="18"/>
              </w:rPr>
            </w:pPr>
            <w:r w:rsidRPr="008F6B0F">
              <w:rPr>
                <w:rFonts w:ascii="Arial" w:hAnsi="Arial" w:cs="Arial"/>
                <w:color w:val="000000"/>
                <w:sz w:val="18"/>
                <w:szCs w:val="18"/>
              </w:rPr>
              <w:t>2.0</w:t>
            </w:r>
          </w:p>
        </w:tc>
      </w:tr>
    </w:tbl>
    <w:p w:rsidR="007857D7" w:rsidRPr="00036D26" w:rsidRDefault="007857D7" w:rsidP="00535E17">
      <w:pPr>
        <w:rPr>
          <w:rFonts w:asciiTheme="minorHAnsi" w:hAnsiTheme="minorHAnsi" w:cstheme="majorBidi"/>
          <w:position w:val="-6"/>
          <w:sz w:val="24"/>
          <w:szCs w:val="24"/>
        </w:rPr>
      </w:pPr>
    </w:p>
    <w:p w:rsidR="007C7F11" w:rsidRPr="00036D26" w:rsidRDefault="007C7F11" w:rsidP="00535E17">
      <w:pPr>
        <w:rPr>
          <w:rFonts w:asciiTheme="minorHAnsi" w:hAnsiTheme="minorHAnsi" w:cstheme="majorBidi"/>
          <w:position w:val="-6"/>
          <w:sz w:val="24"/>
          <w:szCs w:val="24"/>
        </w:rPr>
      </w:pPr>
    </w:p>
    <w:p w:rsidR="007C7F11" w:rsidRPr="00036D26" w:rsidRDefault="007C7F11" w:rsidP="00535E17">
      <w:pPr>
        <w:rPr>
          <w:rFonts w:asciiTheme="minorHAnsi" w:hAnsiTheme="minorHAnsi" w:cstheme="majorBidi"/>
          <w:position w:val="-6"/>
          <w:sz w:val="24"/>
          <w:szCs w:val="24"/>
        </w:rPr>
      </w:pPr>
    </w:p>
    <w:p w:rsidR="00AB6820" w:rsidRPr="00036D26" w:rsidRDefault="00BA080C" w:rsidP="00843992">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Parmi les </w:t>
      </w:r>
      <w:r w:rsidR="004F0361">
        <w:rPr>
          <w:rFonts w:asciiTheme="minorHAnsi" w:hAnsiTheme="minorHAnsi" w:cstheme="majorBidi"/>
          <w:position w:val="-6"/>
          <w:sz w:val="24"/>
          <w:szCs w:val="24"/>
        </w:rPr>
        <w:t>1633</w:t>
      </w:r>
      <w:r w:rsidR="00573A34" w:rsidRPr="00036D26">
        <w:rPr>
          <w:rFonts w:asciiTheme="minorHAnsi" w:hAnsiTheme="minorHAnsi" w:cstheme="majorBidi"/>
          <w:position w:val="-6"/>
          <w:sz w:val="24"/>
          <w:szCs w:val="24"/>
        </w:rPr>
        <w:t>décès enregistrés</w:t>
      </w:r>
      <w:r w:rsidR="00786FA2" w:rsidRPr="00036D26">
        <w:rPr>
          <w:rFonts w:asciiTheme="minorHAnsi" w:hAnsiTheme="minorHAnsi" w:cstheme="majorBidi"/>
          <w:position w:val="-6"/>
          <w:sz w:val="24"/>
          <w:szCs w:val="24"/>
        </w:rPr>
        <w:t>,</w:t>
      </w:r>
      <w:r w:rsidR="00786FA2">
        <w:rPr>
          <w:rFonts w:asciiTheme="minorHAnsi" w:hAnsiTheme="minorHAnsi" w:cstheme="majorBidi"/>
          <w:position w:val="-6"/>
          <w:sz w:val="24"/>
          <w:szCs w:val="24"/>
        </w:rPr>
        <w:t xml:space="preserve"> 437</w:t>
      </w:r>
      <w:r w:rsidR="00BA4E67" w:rsidRPr="00036D26">
        <w:rPr>
          <w:rFonts w:asciiTheme="minorHAnsi" w:hAnsiTheme="minorHAnsi" w:cstheme="majorBidi"/>
          <w:position w:val="-6"/>
          <w:sz w:val="24"/>
          <w:szCs w:val="24"/>
        </w:rPr>
        <w:t xml:space="preserve"> (</w:t>
      </w:r>
      <w:r w:rsidR="007C4EE9" w:rsidRPr="003B5E1B">
        <w:rPr>
          <w:rFonts w:asciiTheme="minorHAnsi" w:hAnsiTheme="minorHAnsi" w:cstheme="majorBidi"/>
          <w:b/>
          <w:bCs/>
          <w:position w:val="-6"/>
          <w:sz w:val="24"/>
          <w:szCs w:val="24"/>
        </w:rPr>
        <w:t>26</w:t>
      </w:r>
      <w:r w:rsidR="00BA4E67" w:rsidRPr="003B5E1B">
        <w:rPr>
          <w:rFonts w:asciiTheme="minorHAnsi" w:hAnsiTheme="minorHAnsi" w:cstheme="majorBidi"/>
          <w:b/>
          <w:bCs/>
          <w:position w:val="-6"/>
          <w:sz w:val="24"/>
          <w:szCs w:val="24"/>
        </w:rPr>
        <w:t>.</w:t>
      </w:r>
      <w:r w:rsidR="004F0361">
        <w:rPr>
          <w:rFonts w:asciiTheme="minorHAnsi" w:hAnsiTheme="minorHAnsi" w:cstheme="majorBidi"/>
          <w:b/>
          <w:bCs/>
          <w:position w:val="-6"/>
          <w:sz w:val="24"/>
          <w:szCs w:val="24"/>
        </w:rPr>
        <w:t>8</w:t>
      </w:r>
      <w:r w:rsidR="00786FA2">
        <w:rPr>
          <w:rFonts w:asciiTheme="minorHAnsi" w:hAnsiTheme="minorHAnsi" w:cstheme="majorBidi"/>
          <w:b/>
          <w:bCs/>
          <w:position w:val="-6"/>
          <w:sz w:val="24"/>
          <w:szCs w:val="24"/>
        </w:rPr>
        <w:t xml:space="preserve"> </w:t>
      </w:r>
      <w:r w:rsidR="00573A34" w:rsidRPr="003B5E1B">
        <w:rPr>
          <w:rFonts w:asciiTheme="minorHAnsi" w:hAnsiTheme="minorHAnsi" w:cstheme="majorBidi"/>
          <w:b/>
          <w:bCs/>
          <w:position w:val="-6"/>
          <w:sz w:val="24"/>
          <w:szCs w:val="24"/>
        </w:rPr>
        <w:t>%)</w:t>
      </w:r>
      <w:r w:rsidR="00573A34" w:rsidRPr="00036D26">
        <w:rPr>
          <w:rFonts w:asciiTheme="minorHAnsi" w:hAnsiTheme="minorHAnsi" w:cstheme="majorBidi"/>
          <w:position w:val="-6"/>
          <w:sz w:val="24"/>
          <w:szCs w:val="24"/>
        </w:rPr>
        <w:t xml:space="preserve"> ont concerné des enfants âgés de moins de </w:t>
      </w:r>
      <w:r w:rsidR="007745C2" w:rsidRPr="00036D26">
        <w:rPr>
          <w:rFonts w:asciiTheme="minorHAnsi" w:hAnsiTheme="minorHAnsi" w:cstheme="majorBidi"/>
          <w:position w:val="-6"/>
          <w:sz w:val="24"/>
          <w:szCs w:val="24"/>
        </w:rPr>
        <w:t xml:space="preserve">5 </w:t>
      </w:r>
      <w:r w:rsidR="00D41243" w:rsidRPr="00036D26">
        <w:rPr>
          <w:rFonts w:asciiTheme="minorHAnsi" w:hAnsiTheme="minorHAnsi" w:cstheme="majorBidi"/>
          <w:position w:val="-6"/>
          <w:sz w:val="24"/>
          <w:szCs w:val="24"/>
        </w:rPr>
        <w:t>ans tandis</w:t>
      </w:r>
      <w:r w:rsidR="00AD5DFD" w:rsidRPr="00036D26">
        <w:rPr>
          <w:rFonts w:asciiTheme="minorHAnsi" w:hAnsiTheme="minorHAnsi" w:cstheme="majorBidi"/>
          <w:position w:val="-6"/>
          <w:sz w:val="24"/>
          <w:szCs w:val="24"/>
        </w:rPr>
        <w:t xml:space="preserve"> que </w:t>
      </w:r>
      <w:r w:rsidR="007745C2" w:rsidRPr="00036D26">
        <w:rPr>
          <w:rFonts w:asciiTheme="minorHAnsi" w:hAnsiTheme="minorHAnsi" w:cstheme="majorBidi"/>
          <w:position w:val="-6"/>
          <w:sz w:val="24"/>
          <w:szCs w:val="24"/>
        </w:rPr>
        <w:t xml:space="preserve">près d’un sujet décédé sur quatre  </w:t>
      </w:r>
      <w:r w:rsidR="00EA52A1" w:rsidRPr="00036D26">
        <w:rPr>
          <w:rFonts w:asciiTheme="minorHAnsi" w:hAnsiTheme="minorHAnsi" w:cstheme="majorBidi"/>
          <w:position w:val="-6"/>
          <w:sz w:val="24"/>
          <w:szCs w:val="24"/>
        </w:rPr>
        <w:t>(</w:t>
      </w:r>
      <w:r w:rsidR="00B52885" w:rsidRPr="00036D26">
        <w:rPr>
          <w:rFonts w:asciiTheme="minorHAnsi" w:hAnsiTheme="minorHAnsi" w:cstheme="majorBidi"/>
          <w:position w:val="-6"/>
          <w:sz w:val="24"/>
          <w:szCs w:val="24"/>
        </w:rPr>
        <w:t>2</w:t>
      </w:r>
      <w:r w:rsidR="004F0361">
        <w:rPr>
          <w:rFonts w:asciiTheme="minorHAnsi" w:hAnsiTheme="minorHAnsi" w:cstheme="majorBidi"/>
          <w:position w:val="-6"/>
          <w:sz w:val="24"/>
          <w:szCs w:val="24"/>
        </w:rPr>
        <w:t>3</w:t>
      </w:r>
      <w:r w:rsidR="00B52885" w:rsidRPr="00036D26">
        <w:rPr>
          <w:rFonts w:asciiTheme="minorHAnsi" w:hAnsiTheme="minorHAnsi" w:cstheme="majorBidi"/>
          <w:position w:val="-6"/>
          <w:sz w:val="24"/>
          <w:szCs w:val="24"/>
        </w:rPr>
        <w:t>,</w:t>
      </w:r>
      <w:r w:rsidR="007C7F11" w:rsidRPr="00036D26">
        <w:rPr>
          <w:rFonts w:asciiTheme="minorHAnsi" w:hAnsiTheme="minorHAnsi" w:cstheme="majorBidi"/>
          <w:position w:val="-6"/>
          <w:sz w:val="24"/>
          <w:szCs w:val="24"/>
        </w:rPr>
        <w:t>9</w:t>
      </w:r>
      <w:r w:rsidR="00786FA2">
        <w:rPr>
          <w:rFonts w:asciiTheme="minorHAnsi" w:hAnsiTheme="minorHAnsi" w:cstheme="majorBidi"/>
          <w:position w:val="-6"/>
          <w:sz w:val="24"/>
          <w:szCs w:val="24"/>
        </w:rPr>
        <w:t xml:space="preserve"> </w:t>
      </w:r>
      <w:r w:rsidR="00573A34" w:rsidRPr="00036D26">
        <w:rPr>
          <w:rFonts w:asciiTheme="minorHAnsi" w:hAnsiTheme="minorHAnsi" w:cstheme="majorBidi"/>
          <w:position w:val="-6"/>
          <w:sz w:val="24"/>
          <w:szCs w:val="24"/>
        </w:rPr>
        <w:t>%) était âgé</w:t>
      </w:r>
      <w:r w:rsidR="001C26D4" w:rsidRPr="00036D26">
        <w:rPr>
          <w:rFonts w:asciiTheme="minorHAnsi" w:hAnsiTheme="minorHAnsi" w:cstheme="majorBidi"/>
          <w:position w:val="-6"/>
          <w:sz w:val="24"/>
          <w:szCs w:val="24"/>
        </w:rPr>
        <w:t xml:space="preserve"> de moins d’un an. </w:t>
      </w:r>
      <w:r w:rsidR="00D41243">
        <w:rPr>
          <w:rFonts w:asciiTheme="minorHAnsi" w:hAnsiTheme="minorHAnsi" w:cstheme="majorBidi"/>
          <w:position w:val="-6"/>
          <w:sz w:val="24"/>
          <w:szCs w:val="24"/>
        </w:rPr>
        <w:t>La</w:t>
      </w:r>
      <w:r w:rsidR="004F0361">
        <w:rPr>
          <w:rFonts w:asciiTheme="minorHAnsi" w:hAnsiTheme="minorHAnsi" w:cstheme="majorBidi"/>
          <w:position w:val="-6"/>
          <w:sz w:val="24"/>
          <w:szCs w:val="24"/>
        </w:rPr>
        <w:t xml:space="preserve"> sex-ratio était de 1.3</w:t>
      </w:r>
      <w:r w:rsidR="003E608C" w:rsidRPr="00036D26">
        <w:rPr>
          <w:rFonts w:asciiTheme="minorHAnsi" w:hAnsiTheme="minorHAnsi" w:cstheme="majorBidi"/>
          <w:position w:val="-6"/>
          <w:sz w:val="24"/>
          <w:szCs w:val="24"/>
        </w:rPr>
        <w:t>.</w:t>
      </w:r>
      <w:r w:rsidR="00573A34" w:rsidRPr="00036D26">
        <w:rPr>
          <w:rFonts w:asciiTheme="minorHAnsi" w:hAnsiTheme="minorHAnsi" w:cstheme="majorBidi"/>
          <w:position w:val="-6"/>
          <w:sz w:val="24"/>
          <w:szCs w:val="24"/>
        </w:rPr>
        <w:t xml:space="preserve">La répartition par âge en fonction du sexe était sensiblement la </w:t>
      </w:r>
      <w:r w:rsidR="00D41243" w:rsidRPr="00036D26">
        <w:rPr>
          <w:rFonts w:asciiTheme="minorHAnsi" w:hAnsiTheme="minorHAnsi" w:cstheme="majorBidi"/>
          <w:position w:val="-6"/>
          <w:sz w:val="24"/>
          <w:szCs w:val="24"/>
        </w:rPr>
        <w:t>même</w:t>
      </w:r>
      <w:r w:rsidR="00D41243">
        <w:rPr>
          <w:rFonts w:asciiTheme="minorHAnsi" w:hAnsiTheme="minorHAnsi" w:cstheme="majorBidi"/>
          <w:position w:val="-6"/>
          <w:sz w:val="24"/>
          <w:szCs w:val="24"/>
        </w:rPr>
        <w:t xml:space="preserve"> (</w:t>
      </w:r>
      <w:r w:rsidR="002E6C68">
        <w:rPr>
          <w:rFonts w:asciiTheme="minorHAnsi" w:hAnsiTheme="minorHAnsi" w:cstheme="majorBidi"/>
          <w:position w:val="-6"/>
          <w:sz w:val="24"/>
          <w:szCs w:val="24"/>
        </w:rPr>
        <w:t>p</w:t>
      </w:r>
      <w:r w:rsidR="007C4EE9">
        <w:rPr>
          <w:rFonts w:asciiTheme="minorHAnsi" w:hAnsiTheme="minorHAnsi" w:cstheme="majorBidi"/>
          <w:position w:val="-6"/>
          <w:sz w:val="24"/>
          <w:szCs w:val="24"/>
        </w:rPr>
        <w:t>=0.</w:t>
      </w:r>
      <w:r w:rsidR="00CC5FD1">
        <w:rPr>
          <w:rFonts w:asciiTheme="minorHAnsi" w:hAnsiTheme="minorHAnsi" w:cstheme="majorBidi"/>
          <w:position w:val="-6"/>
          <w:sz w:val="24"/>
          <w:szCs w:val="24"/>
        </w:rPr>
        <w:t>76</w:t>
      </w:r>
      <w:r w:rsidR="007C4EE9">
        <w:rPr>
          <w:rFonts w:asciiTheme="minorHAnsi" w:hAnsiTheme="minorHAnsi" w:cstheme="majorBidi"/>
          <w:position w:val="-6"/>
          <w:sz w:val="24"/>
          <w:szCs w:val="24"/>
        </w:rPr>
        <w:t>)</w:t>
      </w:r>
      <w:r w:rsidR="00573A34" w:rsidRPr="00036D26">
        <w:rPr>
          <w:rFonts w:asciiTheme="minorHAnsi" w:hAnsiTheme="minorHAnsi" w:cstheme="majorBidi"/>
          <w:position w:val="-6"/>
          <w:sz w:val="24"/>
          <w:szCs w:val="24"/>
        </w:rPr>
        <w:t xml:space="preserve">. La </w:t>
      </w:r>
      <w:r w:rsidR="00593A85" w:rsidRPr="00036D26">
        <w:rPr>
          <w:rFonts w:asciiTheme="minorHAnsi" w:hAnsiTheme="minorHAnsi" w:cstheme="majorBidi"/>
          <w:position w:val="-6"/>
          <w:sz w:val="24"/>
          <w:szCs w:val="24"/>
        </w:rPr>
        <w:t xml:space="preserve">moyenne de la </w:t>
      </w:r>
      <w:r w:rsidR="00573A34" w:rsidRPr="00036D26">
        <w:rPr>
          <w:rFonts w:asciiTheme="minorHAnsi" w:hAnsiTheme="minorHAnsi" w:cstheme="majorBidi"/>
          <w:position w:val="-6"/>
          <w:sz w:val="24"/>
          <w:szCs w:val="24"/>
        </w:rPr>
        <w:t xml:space="preserve">durée de </w:t>
      </w:r>
      <w:r w:rsidR="00D41243" w:rsidRPr="00036D26">
        <w:rPr>
          <w:rFonts w:asciiTheme="minorHAnsi" w:hAnsiTheme="minorHAnsi" w:cstheme="majorBidi"/>
          <w:position w:val="-6"/>
          <w:sz w:val="24"/>
          <w:szCs w:val="24"/>
        </w:rPr>
        <w:t>séjour était</w:t>
      </w:r>
      <w:r w:rsidR="00CC5FD1" w:rsidRPr="00036D26">
        <w:rPr>
          <w:rFonts w:asciiTheme="minorHAnsi" w:hAnsiTheme="minorHAnsi" w:cstheme="majorBidi"/>
          <w:position w:val="-6"/>
          <w:sz w:val="24"/>
          <w:szCs w:val="24"/>
        </w:rPr>
        <w:t xml:space="preserve"> la plus </w:t>
      </w:r>
      <w:r w:rsidR="00CC5FD1">
        <w:rPr>
          <w:rFonts w:asciiTheme="minorHAnsi" w:hAnsiTheme="minorHAnsi" w:cstheme="majorBidi"/>
          <w:position w:val="-6"/>
          <w:sz w:val="24"/>
          <w:szCs w:val="24"/>
        </w:rPr>
        <w:t xml:space="preserve">courte </w:t>
      </w:r>
      <w:r w:rsidR="00CC5FD1" w:rsidRPr="00036D26">
        <w:rPr>
          <w:rFonts w:asciiTheme="minorHAnsi" w:hAnsiTheme="minorHAnsi" w:cstheme="majorBidi"/>
          <w:position w:val="-6"/>
          <w:sz w:val="24"/>
          <w:szCs w:val="24"/>
        </w:rPr>
        <w:t>(</w:t>
      </w:r>
      <w:r w:rsidR="00CC5FD1">
        <w:rPr>
          <w:rFonts w:asciiTheme="minorHAnsi" w:hAnsiTheme="minorHAnsi" w:cstheme="majorBidi"/>
          <w:position w:val="-6"/>
          <w:sz w:val="24"/>
          <w:szCs w:val="24"/>
        </w:rPr>
        <w:t>2</w:t>
      </w:r>
      <w:r w:rsidR="00CC5FD1" w:rsidRPr="00036D26">
        <w:rPr>
          <w:rFonts w:asciiTheme="minorHAnsi" w:hAnsiTheme="minorHAnsi" w:cstheme="majorBidi"/>
          <w:position w:val="-6"/>
          <w:sz w:val="24"/>
          <w:szCs w:val="24"/>
        </w:rPr>
        <w:t>.</w:t>
      </w:r>
      <w:r w:rsidR="00CC5FD1">
        <w:rPr>
          <w:rFonts w:asciiTheme="minorHAnsi" w:hAnsiTheme="minorHAnsi" w:cstheme="majorBidi"/>
          <w:position w:val="-6"/>
          <w:sz w:val="24"/>
          <w:szCs w:val="24"/>
        </w:rPr>
        <w:t>8</w:t>
      </w:r>
      <w:r w:rsidR="00786FA2">
        <w:rPr>
          <w:rFonts w:asciiTheme="minorHAnsi" w:hAnsiTheme="minorHAnsi" w:cstheme="majorBidi"/>
          <w:position w:val="-6"/>
          <w:sz w:val="24"/>
          <w:szCs w:val="24"/>
        </w:rPr>
        <w:t xml:space="preserve"> </w:t>
      </w:r>
      <w:r w:rsidR="00CC5FD1" w:rsidRPr="00036D26">
        <w:rPr>
          <w:rFonts w:asciiTheme="minorHAnsi" w:hAnsiTheme="minorHAnsi" w:cstheme="majorBidi"/>
          <w:position w:val="-6"/>
          <w:sz w:val="24"/>
          <w:szCs w:val="24"/>
        </w:rPr>
        <w:sym w:font="Symbol" w:char="F0B1"/>
      </w:r>
      <w:r w:rsidR="00786FA2">
        <w:rPr>
          <w:rFonts w:asciiTheme="minorHAnsi" w:hAnsiTheme="minorHAnsi" w:cstheme="majorBidi"/>
          <w:position w:val="-6"/>
          <w:sz w:val="24"/>
          <w:szCs w:val="24"/>
        </w:rPr>
        <w:t xml:space="preserve"> </w:t>
      </w:r>
      <w:r w:rsidR="00CC5FD1">
        <w:rPr>
          <w:rFonts w:asciiTheme="minorHAnsi" w:hAnsiTheme="minorHAnsi"/>
          <w:position w:val="-6"/>
          <w:sz w:val="24"/>
          <w:szCs w:val="24"/>
        </w:rPr>
        <w:t>4.5</w:t>
      </w:r>
      <w:r w:rsidR="00CC5FD1" w:rsidRPr="00036D26">
        <w:rPr>
          <w:rFonts w:asciiTheme="minorHAnsi" w:hAnsiTheme="minorHAnsi" w:cstheme="majorBidi"/>
          <w:position w:val="-6"/>
          <w:sz w:val="24"/>
          <w:szCs w:val="24"/>
        </w:rPr>
        <w:t xml:space="preserve"> jours)</w:t>
      </w:r>
      <w:r w:rsidR="00573A34" w:rsidRPr="00036D26">
        <w:rPr>
          <w:rFonts w:asciiTheme="minorHAnsi" w:hAnsiTheme="minorHAnsi" w:cstheme="majorBidi"/>
          <w:position w:val="-6"/>
          <w:sz w:val="24"/>
          <w:szCs w:val="24"/>
        </w:rPr>
        <w:t xml:space="preserve"> pour </w:t>
      </w:r>
      <w:r w:rsidR="00AF2293" w:rsidRPr="00036D26">
        <w:rPr>
          <w:rFonts w:asciiTheme="minorHAnsi" w:hAnsiTheme="minorHAnsi" w:cstheme="majorBidi"/>
          <w:position w:val="-6"/>
          <w:sz w:val="24"/>
          <w:szCs w:val="24"/>
        </w:rPr>
        <w:t>les sujets</w:t>
      </w:r>
      <w:r w:rsidR="00CC5FD1">
        <w:rPr>
          <w:rFonts w:asciiTheme="minorHAnsi" w:hAnsiTheme="minorHAnsi" w:cstheme="majorBidi"/>
          <w:position w:val="-6"/>
          <w:sz w:val="24"/>
          <w:szCs w:val="24"/>
        </w:rPr>
        <w:t xml:space="preserve"> dont l’âge était </w:t>
      </w:r>
      <w:r w:rsidR="00D41243">
        <w:rPr>
          <w:rFonts w:asciiTheme="minorHAnsi" w:hAnsiTheme="minorHAnsi" w:cstheme="majorBidi"/>
          <w:position w:val="-6"/>
          <w:sz w:val="24"/>
          <w:szCs w:val="24"/>
        </w:rPr>
        <w:t>indéterminé</w:t>
      </w:r>
      <w:r w:rsidR="00D41243" w:rsidRPr="00036D26">
        <w:rPr>
          <w:rFonts w:asciiTheme="minorHAnsi" w:hAnsiTheme="minorHAnsi" w:cstheme="majorBidi"/>
          <w:position w:val="-6"/>
          <w:sz w:val="24"/>
          <w:szCs w:val="24"/>
        </w:rPr>
        <w:t xml:space="preserve"> tandis</w:t>
      </w:r>
      <w:r w:rsidR="00BC0642" w:rsidRPr="00036D26">
        <w:rPr>
          <w:rFonts w:asciiTheme="minorHAnsi" w:hAnsiTheme="minorHAnsi" w:cstheme="majorBidi"/>
          <w:position w:val="-6"/>
          <w:sz w:val="24"/>
          <w:szCs w:val="24"/>
        </w:rPr>
        <w:t xml:space="preserve"> que la tranche d’âge 1</w:t>
      </w:r>
      <w:r w:rsidR="00CC5FD1">
        <w:rPr>
          <w:rFonts w:asciiTheme="minorHAnsi" w:hAnsiTheme="minorHAnsi" w:cstheme="majorBidi"/>
          <w:position w:val="-6"/>
          <w:sz w:val="24"/>
          <w:szCs w:val="24"/>
        </w:rPr>
        <w:t>5</w:t>
      </w:r>
      <w:r w:rsidR="00BC0642" w:rsidRPr="00036D26">
        <w:rPr>
          <w:rFonts w:asciiTheme="minorHAnsi" w:hAnsiTheme="minorHAnsi" w:cstheme="majorBidi"/>
          <w:position w:val="-6"/>
          <w:sz w:val="24"/>
          <w:szCs w:val="24"/>
        </w:rPr>
        <w:t>-</w:t>
      </w:r>
      <w:r w:rsidR="00CC5FD1">
        <w:rPr>
          <w:rFonts w:asciiTheme="minorHAnsi" w:hAnsiTheme="minorHAnsi" w:cstheme="majorBidi"/>
          <w:position w:val="-6"/>
          <w:sz w:val="24"/>
          <w:szCs w:val="24"/>
        </w:rPr>
        <w:t xml:space="preserve">24 </w:t>
      </w:r>
      <w:r w:rsidR="00BC0642" w:rsidRPr="00036D26">
        <w:rPr>
          <w:rFonts w:asciiTheme="minorHAnsi" w:hAnsiTheme="minorHAnsi" w:cstheme="majorBidi"/>
          <w:position w:val="-6"/>
          <w:sz w:val="24"/>
          <w:szCs w:val="24"/>
        </w:rPr>
        <w:t>an</w:t>
      </w:r>
      <w:r w:rsidR="00402F37" w:rsidRPr="00036D26">
        <w:rPr>
          <w:rFonts w:asciiTheme="minorHAnsi" w:hAnsiTheme="minorHAnsi" w:cstheme="majorBidi"/>
          <w:position w:val="-6"/>
          <w:sz w:val="24"/>
          <w:szCs w:val="24"/>
        </w:rPr>
        <w:t>s</w:t>
      </w:r>
      <w:r w:rsidR="00BC0642" w:rsidRPr="00036D26">
        <w:rPr>
          <w:rFonts w:asciiTheme="minorHAnsi" w:hAnsiTheme="minorHAnsi" w:cstheme="majorBidi"/>
          <w:position w:val="-6"/>
          <w:sz w:val="24"/>
          <w:szCs w:val="24"/>
        </w:rPr>
        <w:t xml:space="preserve"> a enregistré la moyen</w:t>
      </w:r>
      <w:r w:rsidR="0005661C" w:rsidRPr="00036D26">
        <w:rPr>
          <w:rFonts w:asciiTheme="minorHAnsi" w:hAnsiTheme="minorHAnsi" w:cstheme="majorBidi"/>
          <w:position w:val="-6"/>
          <w:sz w:val="24"/>
          <w:szCs w:val="24"/>
        </w:rPr>
        <w:t>ne</w:t>
      </w:r>
      <w:r w:rsidR="00BC0642" w:rsidRPr="00036D26">
        <w:rPr>
          <w:rFonts w:asciiTheme="minorHAnsi" w:hAnsiTheme="minorHAnsi" w:cstheme="majorBidi"/>
          <w:position w:val="-6"/>
          <w:sz w:val="24"/>
          <w:szCs w:val="24"/>
        </w:rPr>
        <w:t xml:space="preserve"> de durée de séjour la plus </w:t>
      </w:r>
      <w:r w:rsidR="008D770D">
        <w:rPr>
          <w:rFonts w:asciiTheme="minorHAnsi" w:hAnsiTheme="minorHAnsi" w:cstheme="majorBidi"/>
          <w:position w:val="-6"/>
          <w:sz w:val="24"/>
          <w:szCs w:val="24"/>
        </w:rPr>
        <w:t>longue</w:t>
      </w:r>
      <w:r w:rsidR="00BC0642" w:rsidRPr="00036D26">
        <w:rPr>
          <w:rFonts w:asciiTheme="minorHAnsi" w:hAnsiTheme="minorHAnsi" w:cstheme="majorBidi"/>
          <w:position w:val="-6"/>
          <w:sz w:val="24"/>
          <w:szCs w:val="24"/>
        </w:rPr>
        <w:t xml:space="preserve"> (</w:t>
      </w:r>
      <w:r w:rsidR="00643845">
        <w:rPr>
          <w:rFonts w:asciiTheme="minorHAnsi" w:hAnsiTheme="minorHAnsi" w:cstheme="majorBidi"/>
          <w:position w:val="-6"/>
          <w:sz w:val="24"/>
          <w:szCs w:val="24"/>
        </w:rPr>
        <w:t>1</w:t>
      </w:r>
      <w:r w:rsidR="00CC5FD1">
        <w:rPr>
          <w:rFonts w:asciiTheme="minorHAnsi" w:hAnsiTheme="minorHAnsi" w:cstheme="majorBidi"/>
          <w:position w:val="-6"/>
          <w:sz w:val="24"/>
          <w:szCs w:val="24"/>
        </w:rPr>
        <w:t>1.2</w:t>
      </w:r>
      <w:r w:rsidR="00786FA2">
        <w:rPr>
          <w:rFonts w:asciiTheme="minorHAnsi" w:hAnsiTheme="minorHAnsi" w:cstheme="majorBidi"/>
          <w:position w:val="-6"/>
          <w:sz w:val="24"/>
          <w:szCs w:val="24"/>
        </w:rPr>
        <w:t xml:space="preserve"> </w:t>
      </w:r>
      <w:r w:rsidR="00BC0642" w:rsidRPr="00036D26">
        <w:rPr>
          <w:rFonts w:asciiTheme="minorHAnsi" w:hAnsiTheme="minorHAnsi" w:cstheme="majorBidi"/>
          <w:position w:val="-6"/>
          <w:sz w:val="24"/>
          <w:szCs w:val="24"/>
        </w:rPr>
        <w:sym w:font="Symbol" w:char="F0B1"/>
      </w:r>
      <w:r w:rsidR="00786FA2">
        <w:rPr>
          <w:rFonts w:asciiTheme="minorHAnsi" w:hAnsiTheme="minorHAnsi" w:cstheme="majorBidi"/>
          <w:position w:val="-6"/>
          <w:sz w:val="24"/>
          <w:szCs w:val="24"/>
        </w:rPr>
        <w:t xml:space="preserve"> </w:t>
      </w:r>
      <w:r w:rsidR="00CC5FD1">
        <w:rPr>
          <w:rFonts w:asciiTheme="minorHAnsi" w:hAnsiTheme="minorHAnsi" w:cstheme="majorBidi"/>
          <w:position w:val="-6"/>
          <w:sz w:val="24"/>
          <w:szCs w:val="24"/>
        </w:rPr>
        <w:t>19.2</w:t>
      </w:r>
      <w:r w:rsidR="00786FA2">
        <w:rPr>
          <w:rFonts w:asciiTheme="minorHAnsi" w:hAnsiTheme="minorHAnsi" w:cstheme="majorBidi"/>
          <w:position w:val="-6"/>
          <w:sz w:val="24"/>
          <w:szCs w:val="24"/>
        </w:rPr>
        <w:t xml:space="preserve"> </w:t>
      </w:r>
      <w:r w:rsidR="00BC0642" w:rsidRPr="00036D26">
        <w:rPr>
          <w:rFonts w:asciiTheme="minorHAnsi" w:hAnsiTheme="minorHAnsi" w:cstheme="majorBidi"/>
          <w:position w:val="-6"/>
          <w:sz w:val="24"/>
          <w:szCs w:val="24"/>
        </w:rPr>
        <w:t xml:space="preserve">jours). </w:t>
      </w:r>
      <w:r w:rsidR="00573A34" w:rsidRPr="00036D26">
        <w:rPr>
          <w:rFonts w:asciiTheme="minorHAnsi" w:hAnsiTheme="minorHAnsi" w:cstheme="majorBidi"/>
          <w:position w:val="-6"/>
          <w:sz w:val="24"/>
          <w:szCs w:val="24"/>
        </w:rPr>
        <w:t>(</w:t>
      </w:r>
      <w:r w:rsidR="003E1324" w:rsidRPr="00036D26">
        <w:rPr>
          <w:rFonts w:asciiTheme="minorHAnsi" w:hAnsiTheme="minorHAnsi" w:cstheme="majorBidi"/>
          <w:position w:val="-6"/>
          <w:sz w:val="24"/>
          <w:szCs w:val="24"/>
        </w:rPr>
        <w:t>Tableau</w:t>
      </w:r>
      <w:r w:rsidR="003E608C" w:rsidRPr="00036D26">
        <w:rPr>
          <w:rFonts w:asciiTheme="minorHAnsi" w:hAnsiTheme="minorHAnsi" w:cstheme="majorBidi"/>
          <w:position w:val="-6"/>
          <w:sz w:val="24"/>
          <w:szCs w:val="24"/>
        </w:rPr>
        <w:t xml:space="preserve"> 2)</w:t>
      </w:r>
      <w:r w:rsidR="00064276" w:rsidRPr="00036D26">
        <w:rPr>
          <w:rFonts w:asciiTheme="minorHAnsi" w:hAnsiTheme="minorHAnsi" w:cstheme="majorBidi"/>
          <w:position w:val="-6"/>
          <w:sz w:val="24"/>
          <w:szCs w:val="24"/>
        </w:rPr>
        <w:t>.</w:t>
      </w:r>
    </w:p>
    <w:p w:rsidR="00AB6820" w:rsidRPr="00036D26" w:rsidRDefault="00AB6820" w:rsidP="007745C2">
      <w:pPr>
        <w:spacing w:line="276" w:lineRule="auto"/>
        <w:jc w:val="both"/>
        <w:rPr>
          <w:rFonts w:asciiTheme="minorHAnsi" w:hAnsiTheme="minorHAnsi" w:cstheme="majorBidi"/>
          <w:position w:val="-6"/>
          <w:sz w:val="24"/>
          <w:szCs w:val="24"/>
        </w:rPr>
      </w:pPr>
    </w:p>
    <w:p w:rsidR="00573A34" w:rsidRPr="00036D26" w:rsidRDefault="00573A34" w:rsidP="007745C2">
      <w:pPr>
        <w:spacing w:line="276" w:lineRule="auto"/>
        <w:ind w:right="180"/>
        <w:rPr>
          <w:rFonts w:asciiTheme="minorHAnsi" w:hAnsiTheme="minorHAnsi" w:cstheme="majorBidi"/>
          <w:position w:val="-6"/>
          <w:sz w:val="24"/>
          <w:szCs w:val="24"/>
        </w:rPr>
      </w:pPr>
    </w:p>
    <w:p w:rsidR="00036D26" w:rsidRDefault="00036D26" w:rsidP="007745C2">
      <w:pPr>
        <w:spacing w:line="276" w:lineRule="auto"/>
        <w:ind w:right="180"/>
        <w:rPr>
          <w:rFonts w:asciiTheme="minorHAnsi" w:hAnsiTheme="minorHAnsi" w:cstheme="majorBidi"/>
          <w:position w:val="-6"/>
          <w:sz w:val="24"/>
          <w:szCs w:val="24"/>
        </w:rPr>
      </w:pPr>
    </w:p>
    <w:p w:rsidR="007745C2" w:rsidRPr="00036D26" w:rsidRDefault="007745C2" w:rsidP="007745C2">
      <w:pPr>
        <w:spacing w:line="276" w:lineRule="auto"/>
        <w:ind w:right="180"/>
        <w:rPr>
          <w:rFonts w:asciiTheme="minorHAnsi" w:hAnsiTheme="minorHAnsi" w:cstheme="majorBidi"/>
          <w:position w:val="-6"/>
          <w:sz w:val="24"/>
          <w:szCs w:val="24"/>
        </w:rPr>
      </w:pPr>
    </w:p>
    <w:p w:rsidR="00036D26" w:rsidRPr="00036D26" w:rsidRDefault="00036D26">
      <w:pPr>
        <w:ind w:right="180"/>
        <w:rPr>
          <w:rFonts w:asciiTheme="minorHAnsi" w:hAnsiTheme="minorHAnsi" w:cstheme="majorBidi"/>
          <w:position w:val="-6"/>
          <w:sz w:val="24"/>
          <w:szCs w:val="24"/>
        </w:rPr>
      </w:pPr>
    </w:p>
    <w:p w:rsidR="00036D26" w:rsidRPr="00036D26" w:rsidRDefault="00036D26">
      <w:pPr>
        <w:ind w:right="180"/>
        <w:rPr>
          <w:rFonts w:asciiTheme="minorHAnsi" w:hAnsiTheme="minorHAnsi" w:cstheme="majorBidi"/>
          <w:position w:val="-6"/>
          <w:sz w:val="24"/>
          <w:szCs w:val="24"/>
        </w:rPr>
      </w:pPr>
    </w:p>
    <w:p w:rsidR="00573A34" w:rsidRPr="007745C2" w:rsidRDefault="00E639C1" w:rsidP="00CC5FD1">
      <w:pPr>
        <w:ind w:right="180"/>
        <w:jc w:val="center"/>
        <w:rPr>
          <w:rFonts w:asciiTheme="minorHAnsi" w:hAnsiTheme="minorHAnsi" w:cstheme="majorBidi"/>
          <w:position w:val="-6"/>
          <w:sz w:val="24"/>
          <w:szCs w:val="24"/>
        </w:rPr>
      </w:pPr>
      <w:r w:rsidRPr="00037180">
        <w:rPr>
          <w:rFonts w:asciiTheme="minorHAnsi" w:hAnsiTheme="minorHAnsi" w:cstheme="majorBidi"/>
          <w:position w:val="-6"/>
          <w:sz w:val="24"/>
          <w:szCs w:val="24"/>
          <w:u w:val="single"/>
        </w:rPr>
        <w:lastRenderedPageBreak/>
        <w:t>Tableau 2.</w:t>
      </w:r>
      <w:r w:rsidRPr="007745C2">
        <w:rPr>
          <w:rFonts w:asciiTheme="minorHAnsi" w:hAnsiTheme="minorHAnsi" w:cstheme="majorBidi"/>
          <w:position w:val="-6"/>
          <w:sz w:val="24"/>
          <w:szCs w:val="24"/>
        </w:rPr>
        <w:t xml:space="preserve">Répartition </w:t>
      </w:r>
      <w:r w:rsidR="00E56062" w:rsidRPr="007745C2">
        <w:rPr>
          <w:rFonts w:asciiTheme="minorHAnsi" w:hAnsiTheme="minorHAnsi" w:cstheme="majorBidi"/>
          <w:position w:val="-6"/>
          <w:sz w:val="24"/>
          <w:szCs w:val="24"/>
        </w:rPr>
        <w:t>des 1</w:t>
      </w:r>
      <w:r w:rsidR="00CC5FD1">
        <w:rPr>
          <w:rFonts w:asciiTheme="minorHAnsi" w:hAnsiTheme="minorHAnsi" w:cstheme="majorBidi"/>
          <w:position w:val="-6"/>
          <w:sz w:val="24"/>
          <w:szCs w:val="24"/>
        </w:rPr>
        <w:t>633</w:t>
      </w:r>
      <w:r w:rsidR="00573A34" w:rsidRPr="007745C2">
        <w:rPr>
          <w:rFonts w:asciiTheme="minorHAnsi" w:hAnsiTheme="minorHAnsi" w:cstheme="majorBidi"/>
          <w:position w:val="-6"/>
          <w:sz w:val="24"/>
          <w:szCs w:val="24"/>
        </w:rPr>
        <w:t xml:space="preserve">décès survenus au CHU de Blida selon le </w:t>
      </w:r>
      <w:r w:rsidR="00E56062" w:rsidRPr="007745C2">
        <w:rPr>
          <w:rFonts w:asciiTheme="minorHAnsi" w:hAnsiTheme="minorHAnsi" w:cstheme="majorBidi"/>
          <w:position w:val="-6"/>
          <w:sz w:val="24"/>
          <w:szCs w:val="24"/>
        </w:rPr>
        <w:t>sexe et</w:t>
      </w:r>
      <w:r w:rsidR="00573A34" w:rsidRPr="007745C2">
        <w:rPr>
          <w:rFonts w:asciiTheme="minorHAnsi" w:hAnsiTheme="minorHAnsi" w:cstheme="majorBidi"/>
          <w:position w:val="-6"/>
          <w:sz w:val="24"/>
          <w:szCs w:val="24"/>
        </w:rPr>
        <w:t xml:space="preserve"> la durée de séjour </w:t>
      </w:r>
      <w:r w:rsidR="005F1DBF" w:rsidRPr="007745C2">
        <w:rPr>
          <w:rFonts w:asciiTheme="minorHAnsi" w:hAnsiTheme="minorHAnsi" w:cstheme="majorBidi"/>
          <w:position w:val="-6"/>
          <w:sz w:val="24"/>
          <w:szCs w:val="24"/>
        </w:rPr>
        <w:t xml:space="preserve">en fonction de l’âge (année </w:t>
      </w:r>
      <w:r w:rsidR="004C53D1" w:rsidRPr="007745C2">
        <w:rPr>
          <w:rFonts w:asciiTheme="minorHAnsi" w:hAnsiTheme="minorHAnsi" w:cstheme="majorBidi"/>
          <w:position w:val="-6"/>
          <w:sz w:val="24"/>
          <w:szCs w:val="24"/>
        </w:rPr>
        <w:t>201</w:t>
      </w:r>
      <w:r w:rsidR="00CC5FD1">
        <w:rPr>
          <w:rFonts w:asciiTheme="minorHAnsi" w:hAnsiTheme="minorHAnsi" w:cstheme="majorBidi"/>
          <w:position w:val="-6"/>
          <w:sz w:val="24"/>
          <w:szCs w:val="24"/>
        </w:rPr>
        <w:t>8</w:t>
      </w:r>
      <w:r w:rsidR="008E16BA" w:rsidRPr="007745C2">
        <w:rPr>
          <w:rFonts w:asciiTheme="minorHAnsi" w:hAnsiTheme="minorHAnsi" w:cstheme="majorBidi"/>
          <w:position w:val="-6"/>
          <w:sz w:val="24"/>
          <w:szCs w:val="24"/>
        </w:rPr>
        <w:t>)</w:t>
      </w:r>
    </w:p>
    <w:p w:rsidR="007857D7" w:rsidRPr="007745C2" w:rsidRDefault="007857D7" w:rsidP="001948E7">
      <w:pPr>
        <w:ind w:right="180"/>
        <w:jc w:val="center"/>
        <w:rPr>
          <w:rFonts w:asciiTheme="minorHAnsi" w:hAnsiTheme="minorHAnsi" w:cstheme="majorBidi"/>
          <w:b/>
          <w:bCs/>
          <w:position w:val="-6"/>
          <w:sz w:val="18"/>
          <w:szCs w:val="18"/>
        </w:rPr>
      </w:pPr>
    </w:p>
    <w:tbl>
      <w:tblPr>
        <w:tblStyle w:val="Listemoyenne2-Accent1"/>
        <w:tblW w:w="4627" w:type="pct"/>
        <w:tblLook w:val="04A0"/>
      </w:tblPr>
      <w:tblGrid>
        <w:gridCol w:w="1424"/>
        <w:gridCol w:w="910"/>
        <w:gridCol w:w="931"/>
        <w:gridCol w:w="910"/>
        <w:gridCol w:w="931"/>
        <w:gridCol w:w="910"/>
        <w:gridCol w:w="931"/>
        <w:gridCol w:w="1148"/>
        <w:gridCol w:w="762"/>
      </w:tblGrid>
      <w:tr w:rsidR="006B68B7" w:rsidRPr="00FF1B40" w:rsidTr="00CC5FD1">
        <w:trPr>
          <w:cnfStyle w:val="100000000000"/>
          <w:trHeight w:val="315"/>
        </w:trPr>
        <w:tc>
          <w:tcPr>
            <w:cnfStyle w:val="001000000100"/>
            <w:tcW w:w="804" w:type="pct"/>
            <w:vMerge w:val="restart"/>
            <w:tcBorders>
              <w:top w:val="outset" w:sz="6" w:space="0" w:color="548DD4" w:themeColor="text2" w:themeTint="99"/>
              <w:left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rPr>
                <w:rFonts w:asciiTheme="minorHAnsi" w:hAnsiTheme="minorHAnsi"/>
                <w:position w:val="-6"/>
              </w:rPr>
            </w:pPr>
            <w:r w:rsidRPr="00FF1B40">
              <w:rPr>
                <w:rFonts w:asciiTheme="minorHAnsi" w:hAnsiTheme="minorHAnsi"/>
                <w:position w:val="-6"/>
              </w:rPr>
              <w:t>Age (années)</w:t>
            </w:r>
          </w:p>
        </w:tc>
        <w:tc>
          <w:tcPr>
            <w:tcW w:w="1048" w:type="pct"/>
            <w:gridSpan w:val="2"/>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100000000000"/>
              <w:rPr>
                <w:rFonts w:asciiTheme="minorHAnsi" w:hAnsiTheme="minorHAnsi"/>
                <w:position w:val="-6"/>
              </w:rPr>
            </w:pPr>
            <w:r w:rsidRPr="00FF1B40">
              <w:rPr>
                <w:rFonts w:asciiTheme="minorHAnsi" w:hAnsiTheme="minorHAnsi"/>
                <w:position w:val="-6"/>
              </w:rPr>
              <w:t>Féminin</w:t>
            </w:r>
          </w:p>
        </w:tc>
        <w:tc>
          <w:tcPr>
            <w:tcW w:w="1048" w:type="pct"/>
            <w:gridSpan w:val="2"/>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100000000000"/>
              <w:rPr>
                <w:rFonts w:asciiTheme="minorHAnsi" w:hAnsiTheme="minorHAnsi"/>
                <w:position w:val="-6"/>
              </w:rPr>
            </w:pPr>
            <w:r w:rsidRPr="00FF1B40">
              <w:rPr>
                <w:rFonts w:asciiTheme="minorHAnsi" w:hAnsiTheme="minorHAnsi"/>
                <w:position w:val="-6"/>
              </w:rPr>
              <w:t>Masculin</w:t>
            </w:r>
          </w:p>
        </w:tc>
        <w:tc>
          <w:tcPr>
            <w:tcW w:w="1048" w:type="pct"/>
            <w:gridSpan w:val="2"/>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100000000000"/>
              <w:rPr>
                <w:rFonts w:asciiTheme="minorHAnsi" w:hAnsiTheme="minorHAnsi"/>
                <w:position w:val="-6"/>
              </w:rPr>
            </w:pPr>
            <w:r w:rsidRPr="00FF1B40">
              <w:rPr>
                <w:rFonts w:asciiTheme="minorHAnsi" w:hAnsiTheme="minorHAnsi"/>
                <w:position w:val="-6"/>
              </w:rPr>
              <w:t>Ensemble</w:t>
            </w:r>
          </w:p>
        </w:tc>
        <w:tc>
          <w:tcPr>
            <w:tcW w:w="1051" w:type="pct"/>
            <w:gridSpan w:val="2"/>
            <w:tcBorders>
              <w:top w:val="outset" w:sz="6" w:space="0" w:color="548DD4" w:themeColor="text2" w:themeTint="99"/>
              <w:bottom w:val="outset" w:sz="6" w:space="0" w:color="548DD4" w:themeColor="text2" w:themeTint="99"/>
              <w:right w:val="inset" w:sz="6" w:space="0" w:color="548DD4" w:themeColor="text2" w:themeTint="99"/>
            </w:tcBorders>
            <w:hideMark/>
          </w:tcPr>
          <w:p w:rsidR="006B68B7" w:rsidRPr="00FF1B40" w:rsidRDefault="006B68B7" w:rsidP="00DF4550">
            <w:pPr>
              <w:overflowPunct/>
              <w:autoSpaceDE/>
              <w:autoSpaceDN/>
              <w:adjustRightInd/>
              <w:jc w:val="center"/>
              <w:textAlignment w:val="auto"/>
              <w:cnfStyle w:val="100000000000"/>
              <w:rPr>
                <w:rFonts w:asciiTheme="minorHAnsi" w:hAnsiTheme="minorHAnsi"/>
                <w:position w:val="-6"/>
              </w:rPr>
            </w:pPr>
            <w:r w:rsidRPr="00FF1B40">
              <w:rPr>
                <w:rFonts w:asciiTheme="minorHAnsi" w:hAnsiTheme="minorHAnsi"/>
                <w:position w:val="-6"/>
              </w:rPr>
              <w:t>Durée de séjour</w:t>
            </w:r>
          </w:p>
        </w:tc>
      </w:tr>
      <w:tr w:rsidR="006B68B7" w:rsidRPr="00FF1B40" w:rsidTr="00CC5FD1">
        <w:trPr>
          <w:cnfStyle w:val="000000100000"/>
          <w:trHeight w:val="315"/>
        </w:trPr>
        <w:tc>
          <w:tcPr>
            <w:cnfStyle w:val="001000000000"/>
            <w:tcW w:w="804" w:type="pct"/>
            <w:vMerge/>
            <w:tcBorders>
              <w:top w:val="outset" w:sz="6" w:space="0" w:color="548DD4" w:themeColor="text2" w:themeTint="99"/>
              <w:left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rPr>
                <w:rFonts w:asciiTheme="minorHAnsi" w:hAnsiTheme="minorHAnsi"/>
                <w:position w:val="-6"/>
                <w:sz w:val="24"/>
                <w:szCs w:val="24"/>
              </w:rPr>
            </w:pPr>
          </w:p>
        </w:tc>
        <w:tc>
          <w:tcPr>
            <w:tcW w:w="514" w:type="pct"/>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000000100000"/>
              <w:rPr>
                <w:rFonts w:asciiTheme="minorHAnsi" w:hAnsiTheme="minorHAnsi"/>
                <w:position w:val="-6"/>
                <w:sz w:val="24"/>
                <w:szCs w:val="24"/>
              </w:rPr>
            </w:pPr>
            <w:r w:rsidRPr="00FF1B40">
              <w:rPr>
                <w:rFonts w:asciiTheme="minorHAnsi" w:hAnsiTheme="minorHAnsi"/>
                <w:position w:val="-6"/>
                <w:sz w:val="24"/>
                <w:szCs w:val="24"/>
              </w:rPr>
              <w:t>Effectif</w:t>
            </w:r>
          </w:p>
        </w:tc>
        <w:tc>
          <w:tcPr>
            <w:tcW w:w="535" w:type="pct"/>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000000100000"/>
              <w:rPr>
                <w:rFonts w:asciiTheme="minorHAnsi" w:hAnsiTheme="minorHAnsi"/>
                <w:position w:val="-6"/>
                <w:sz w:val="24"/>
                <w:szCs w:val="24"/>
              </w:rPr>
            </w:pPr>
            <w:r w:rsidRPr="00FF1B40">
              <w:rPr>
                <w:rFonts w:asciiTheme="minorHAnsi" w:hAnsiTheme="minorHAnsi"/>
                <w:position w:val="-6"/>
                <w:sz w:val="24"/>
                <w:szCs w:val="24"/>
              </w:rPr>
              <w:t>%</w:t>
            </w:r>
          </w:p>
        </w:tc>
        <w:tc>
          <w:tcPr>
            <w:tcW w:w="514" w:type="pct"/>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000000100000"/>
              <w:rPr>
                <w:rFonts w:asciiTheme="minorHAnsi" w:hAnsiTheme="minorHAnsi"/>
                <w:position w:val="-6"/>
                <w:sz w:val="24"/>
                <w:szCs w:val="24"/>
              </w:rPr>
            </w:pPr>
            <w:r w:rsidRPr="00FF1B40">
              <w:rPr>
                <w:rFonts w:asciiTheme="minorHAnsi" w:hAnsiTheme="minorHAnsi"/>
                <w:position w:val="-6"/>
                <w:sz w:val="24"/>
                <w:szCs w:val="24"/>
              </w:rPr>
              <w:t>Effectif</w:t>
            </w:r>
          </w:p>
        </w:tc>
        <w:tc>
          <w:tcPr>
            <w:tcW w:w="535" w:type="pct"/>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000000100000"/>
              <w:rPr>
                <w:rFonts w:asciiTheme="minorHAnsi" w:hAnsiTheme="minorHAnsi"/>
                <w:position w:val="-6"/>
                <w:sz w:val="24"/>
                <w:szCs w:val="24"/>
              </w:rPr>
            </w:pPr>
            <w:r w:rsidRPr="00FF1B40">
              <w:rPr>
                <w:rFonts w:asciiTheme="minorHAnsi" w:hAnsiTheme="minorHAnsi"/>
                <w:position w:val="-6"/>
                <w:sz w:val="24"/>
                <w:szCs w:val="24"/>
              </w:rPr>
              <w:t>%</w:t>
            </w:r>
          </w:p>
        </w:tc>
        <w:tc>
          <w:tcPr>
            <w:tcW w:w="514" w:type="pct"/>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000000100000"/>
              <w:rPr>
                <w:rFonts w:asciiTheme="minorHAnsi" w:hAnsiTheme="minorHAnsi"/>
                <w:position w:val="-6"/>
                <w:sz w:val="24"/>
                <w:szCs w:val="24"/>
              </w:rPr>
            </w:pPr>
            <w:r w:rsidRPr="00FF1B40">
              <w:rPr>
                <w:rFonts w:asciiTheme="minorHAnsi" w:hAnsiTheme="minorHAnsi"/>
                <w:position w:val="-6"/>
                <w:sz w:val="24"/>
                <w:szCs w:val="24"/>
              </w:rPr>
              <w:t>Effectif</w:t>
            </w:r>
          </w:p>
        </w:tc>
        <w:tc>
          <w:tcPr>
            <w:tcW w:w="535" w:type="pct"/>
            <w:tcBorders>
              <w:top w:val="outset" w:sz="6" w:space="0" w:color="548DD4" w:themeColor="text2" w:themeTint="99"/>
              <w:bottom w:val="outset" w:sz="6" w:space="0" w:color="548DD4" w:themeColor="text2" w:themeTint="99"/>
            </w:tcBorders>
            <w:hideMark/>
          </w:tcPr>
          <w:p w:rsidR="006B68B7" w:rsidRPr="00FF1B40" w:rsidRDefault="006B68B7" w:rsidP="00DF4550">
            <w:pPr>
              <w:overflowPunct/>
              <w:autoSpaceDE/>
              <w:autoSpaceDN/>
              <w:adjustRightInd/>
              <w:jc w:val="center"/>
              <w:textAlignment w:val="auto"/>
              <w:cnfStyle w:val="000000100000"/>
              <w:rPr>
                <w:rFonts w:asciiTheme="minorHAnsi" w:hAnsiTheme="minorHAnsi"/>
                <w:position w:val="-6"/>
                <w:sz w:val="24"/>
                <w:szCs w:val="24"/>
              </w:rPr>
            </w:pPr>
            <w:r w:rsidRPr="00FF1B40">
              <w:rPr>
                <w:rFonts w:asciiTheme="minorHAnsi" w:hAnsiTheme="minorHAnsi"/>
                <w:position w:val="-6"/>
                <w:sz w:val="24"/>
                <w:szCs w:val="24"/>
              </w:rPr>
              <w:t>%</w:t>
            </w:r>
          </w:p>
        </w:tc>
        <w:tc>
          <w:tcPr>
            <w:tcW w:w="648" w:type="pct"/>
            <w:tcBorders>
              <w:top w:val="outset" w:sz="6" w:space="0" w:color="548DD4" w:themeColor="text2" w:themeTint="99"/>
              <w:bottom w:val="outset" w:sz="6" w:space="0" w:color="548DD4" w:themeColor="text2" w:themeTint="99"/>
            </w:tcBorders>
            <w:hideMark/>
          </w:tcPr>
          <w:p w:rsidR="006B68B7" w:rsidRPr="00FF1B40" w:rsidRDefault="00693D8B" w:rsidP="00DF4550">
            <w:pPr>
              <w:overflowPunct/>
              <w:autoSpaceDE/>
              <w:autoSpaceDN/>
              <w:adjustRightInd/>
              <w:jc w:val="center"/>
              <w:textAlignment w:val="auto"/>
              <w:cnfStyle w:val="000000100000"/>
              <w:rPr>
                <w:rFonts w:asciiTheme="minorHAnsi" w:hAnsiTheme="minorHAnsi"/>
                <w:position w:val="-6"/>
                <w:sz w:val="24"/>
                <w:szCs w:val="24"/>
              </w:rPr>
            </w:pPr>
            <w:r w:rsidRPr="00FF1B40">
              <w:rPr>
                <w:rFonts w:asciiTheme="minorHAnsi" w:hAnsiTheme="minorHAnsi"/>
                <w:position w:val="-6"/>
                <w:sz w:val="24"/>
                <w:szCs w:val="24"/>
              </w:rPr>
              <w:t>M</w:t>
            </w:r>
            <w:r w:rsidR="008D770D" w:rsidRPr="00FF1B40">
              <w:rPr>
                <w:rFonts w:asciiTheme="minorHAnsi" w:hAnsiTheme="minorHAnsi"/>
                <w:position w:val="-6"/>
                <w:sz w:val="24"/>
                <w:szCs w:val="24"/>
              </w:rPr>
              <w:t>oyenne</w:t>
            </w:r>
          </w:p>
        </w:tc>
        <w:tc>
          <w:tcPr>
            <w:tcW w:w="403" w:type="pct"/>
            <w:tcBorders>
              <w:top w:val="outset" w:sz="6" w:space="0" w:color="548DD4" w:themeColor="text2" w:themeTint="99"/>
              <w:bottom w:val="outset" w:sz="6" w:space="0" w:color="548DD4" w:themeColor="text2" w:themeTint="99"/>
              <w:right w:val="inset" w:sz="6" w:space="0" w:color="548DD4" w:themeColor="text2" w:themeTint="99"/>
            </w:tcBorders>
            <w:hideMark/>
          </w:tcPr>
          <w:p w:rsidR="006B68B7" w:rsidRPr="00FF1B40" w:rsidRDefault="008D770D" w:rsidP="00DF4550">
            <w:pPr>
              <w:overflowPunct/>
              <w:autoSpaceDE/>
              <w:autoSpaceDN/>
              <w:adjustRightInd/>
              <w:jc w:val="center"/>
              <w:textAlignment w:val="auto"/>
              <w:cnfStyle w:val="000000100000"/>
              <w:rPr>
                <w:rFonts w:asciiTheme="minorHAnsi" w:hAnsiTheme="minorHAnsi"/>
                <w:position w:val="-6"/>
                <w:sz w:val="24"/>
                <w:szCs w:val="24"/>
              </w:rPr>
            </w:pPr>
            <w:r w:rsidRPr="00FF1B40">
              <w:rPr>
                <w:rFonts w:asciiTheme="minorHAnsi" w:hAnsiTheme="minorHAnsi"/>
                <w:position w:val="-6"/>
                <w:sz w:val="24"/>
                <w:szCs w:val="24"/>
              </w:rPr>
              <w:t>Ecart type</w:t>
            </w:r>
          </w:p>
        </w:tc>
      </w:tr>
      <w:tr w:rsidR="00CC5FD1" w:rsidRPr="00FF1B40" w:rsidTr="00CC5FD1">
        <w:trPr>
          <w:trHeight w:val="315"/>
        </w:trPr>
        <w:tc>
          <w:tcPr>
            <w:cnfStyle w:val="001000000000"/>
            <w:tcW w:w="804" w:type="pct"/>
            <w:tcBorders>
              <w:top w:val="outset" w:sz="6" w:space="0" w:color="548DD4" w:themeColor="text2" w:themeTint="99"/>
              <w:left w:val="outset" w:sz="6" w:space="0" w:color="548DD4" w:themeColor="text2" w:themeTint="99"/>
              <w:bottom w:val="outset" w:sz="6" w:space="0" w:color="548DD4" w:themeColor="text2" w:themeTint="99"/>
            </w:tcBorders>
            <w:hideMark/>
          </w:tcPr>
          <w:p w:rsidR="00CC5FD1" w:rsidRPr="00FF1B40" w:rsidRDefault="00CC5FD1" w:rsidP="00DF4550">
            <w:pPr>
              <w:overflowPunct/>
              <w:autoSpaceDE/>
              <w:autoSpaceDN/>
              <w:adjustRightInd/>
              <w:jc w:val="center"/>
              <w:textAlignment w:val="auto"/>
              <w:rPr>
                <w:rFonts w:asciiTheme="minorHAnsi" w:hAnsiTheme="minorHAnsi"/>
                <w:position w:val="-6"/>
                <w:sz w:val="24"/>
                <w:szCs w:val="24"/>
              </w:rPr>
            </w:pPr>
            <w:r w:rsidRPr="00FF1B40">
              <w:rPr>
                <w:rFonts w:asciiTheme="minorHAnsi" w:hAnsiTheme="minorHAnsi"/>
                <w:position w:val="-6"/>
                <w:sz w:val="24"/>
                <w:szCs w:val="24"/>
              </w:rPr>
              <w:t>0</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166</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23,4</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225</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24,4</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391</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23,9</w:t>
            </w:r>
          </w:p>
        </w:tc>
        <w:tc>
          <w:tcPr>
            <w:tcW w:w="648"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5.5</w:t>
            </w:r>
          </w:p>
        </w:tc>
        <w:tc>
          <w:tcPr>
            <w:tcW w:w="403" w:type="pct"/>
            <w:tcBorders>
              <w:top w:val="outset" w:sz="6" w:space="0" w:color="548DD4" w:themeColor="text2" w:themeTint="99"/>
              <w:bottom w:val="outset" w:sz="6" w:space="0" w:color="548DD4" w:themeColor="text2" w:themeTint="99"/>
              <w:right w:val="in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10.8</w:t>
            </w:r>
          </w:p>
        </w:tc>
      </w:tr>
      <w:tr w:rsidR="00CC5FD1" w:rsidRPr="00FF1B40" w:rsidTr="00CC5FD1">
        <w:trPr>
          <w:cnfStyle w:val="000000100000"/>
          <w:trHeight w:val="315"/>
        </w:trPr>
        <w:tc>
          <w:tcPr>
            <w:cnfStyle w:val="001000000000"/>
            <w:tcW w:w="804" w:type="pct"/>
            <w:tcBorders>
              <w:top w:val="outset" w:sz="6" w:space="0" w:color="548DD4" w:themeColor="text2" w:themeTint="99"/>
              <w:left w:val="outset" w:sz="6" w:space="0" w:color="548DD4" w:themeColor="text2" w:themeTint="99"/>
              <w:bottom w:val="outset" w:sz="6" w:space="0" w:color="548DD4" w:themeColor="text2" w:themeTint="99"/>
            </w:tcBorders>
            <w:hideMark/>
          </w:tcPr>
          <w:p w:rsidR="00CC5FD1" w:rsidRPr="00FF1B40" w:rsidRDefault="00CC5FD1" w:rsidP="00DF4550">
            <w:pPr>
              <w:overflowPunct/>
              <w:autoSpaceDE/>
              <w:autoSpaceDN/>
              <w:adjustRightInd/>
              <w:jc w:val="center"/>
              <w:textAlignment w:val="auto"/>
              <w:rPr>
                <w:rFonts w:asciiTheme="minorHAnsi" w:hAnsiTheme="minorHAnsi"/>
                <w:position w:val="-6"/>
                <w:sz w:val="24"/>
                <w:szCs w:val="24"/>
              </w:rPr>
            </w:pPr>
            <w:r w:rsidRPr="00FF1B40">
              <w:rPr>
                <w:rFonts w:asciiTheme="minorHAnsi" w:hAnsiTheme="minorHAnsi"/>
                <w:position w:val="-6"/>
                <w:sz w:val="24"/>
                <w:szCs w:val="24"/>
              </w:rPr>
              <w:t xml:space="preserve"> 1-14</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39</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5,5</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53</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5,7</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92</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5,6</w:t>
            </w:r>
          </w:p>
        </w:tc>
        <w:tc>
          <w:tcPr>
            <w:tcW w:w="648"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11.1</w:t>
            </w:r>
          </w:p>
        </w:tc>
        <w:tc>
          <w:tcPr>
            <w:tcW w:w="403" w:type="pct"/>
            <w:tcBorders>
              <w:top w:val="outset" w:sz="6" w:space="0" w:color="548DD4" w:themeColor="text2" w:themeTint="99"/>
              <w:bottom w:val="outset" w:sz="6" w:space="0" w:color="548DD4" w:themeColor="text2" w:themeTint="99"/>
              <w:right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14.7</w:t>
            </w:r>
          </w:p>
        </w:tc>
      </w:tr>
      <w:tr w:rsidR="00CC5FD1" w:rsidRPr="00FF1B40" w:rsidTr="00CC5FD1">
        <w:trPr>
          <w:trHeight w:val="315"/>
        </w:trPr>
        <w:tc>
          <w:tcPr>
            <w:cnfStyle w:val="001000000000"/>
            <w:tcW w:w="804" w:type="pct"/>
            <w:tcBorders>
              <w:top w:val="outset" w:sz="6" w:space="0" w:color="548DD4" w:themeColor="text2" w:themeTint="99"/>
              <w:left w:val="outset" w:sz="6" w:space="0" w:color="548DD4" w:themeColor="text2" w:themeTint="99"/>
              <w:bottom w:val="outset" w:sz="6" w:space="0" w:color="548DD4" w:themeColor="text2" w:themeTint="99"/>
            </w:tcBorders>
            <w:hideMark/>
          </w:tcPr>
          <w:p w:rsidR="00CC5FD1" w:rsidRPr="00FF1B40" w:rsidRDefault="00CC5FD1" w:rsidP="00DF4550">
            <w:pPr>
              <w:overflowPunct/>
              <w:autoSpaceDE/>
              <w:autoSpaceDN/>
              <w:adjustRightInd/>
              <w:jc w:val="center"/>
              <w:textAlignment w:val="auto"/>
              <w:rPr>
                <w:rFonts w:asciiTheme="minorHAnsi" w:hAnsiTheme="minorHAnsi"/>
                <w:position w:val="-6"/>
                <w:sz w:val="24"/>
                <w:szCs w:val="24"/>
              </w:rPr>
            </w:pPr>
            <w:r w:rsidRPr="00FF1B40">
              <w:rPr>
                <w:rFonts w:asciiTheme="minorHAnsi" w:hAnsiTheme="minorHAnsi"/>
                <w:position w:val="-6"/>
                <w:sz w:val="24"/>
                <w:szCs w:val="24"/>
              </w:rPr>
              <w:t>15-24</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27</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3,8</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16</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1,7</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43</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2,6</w:t>
            </w:r>
          </w:p>
        </w:tc>
        <w:tc>
          <w:tcPr>
            <w:tcW w:w="648"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11.2</w:t>
            </w:r>
          </w:p>
        </w:tc>
        <w:tc>
          <w:tcPr>
            <w:tcW w:w="403" w:type="pct"/>
            <w:tcBorders>
              <w:top w:val="outset" w:sz="6" w:space="0" w:color="548DD4" w:themeColor="text2" w:themeTint="99"/>
              <w:bottom w:val="outset" w:sz="6" w:space="0" w:color="548DD4" w:themeColor="text2" w:themeTint="99"/>
              <w:right w:val="in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19.2</w:t>
            </w:r>
          </w:p>
        </w:tc>
      </w:tr>
      <w:tr w:rsidR="00CC5FD1" w:rsidRPr="00FF1B40" w:rsidTr="00CC5FD1">
        <w:trPr>
          <w:cnfStyle w:val="000000100000"/>
          <w:trHeight w:val="315"/>
        </w:trPr>
        <w:tc>
          <w:tcPr>
            <w:cnfStyle w:val="001000000000"/>
            <w:tcW w:w="804" w:type="pct"/>
            <w:tcBorders>
              <w:top w:val="outset" w:sz="6" w:space="0" w:color="548DD4" w:themeColor="text2" w:themeTint="99"/>
              <w:left w:val="outset" w:sz="6" w:space="0" w:color="548DD4" w:themeColor="text2" w:themeTint="99"/>
              <w:bottom w:val="outset" w:sz="6" w:space="0" w:color="548DD4" w:themeColor="text2" w:themeTint="99"/>
            </w:tcBorders>
            <w:hideMark/>
          </w:tcPr>
          <w:p w:rsidR="00CC5FD1" w:rsidRPr="00FF1B40" w:rsidRDefault="00CC5FD1" w:rsidP="00DF4550">
            <w:pPr>
              <w:overflowPunct/>
              <w:autoSpaceDE/>
              <w:autoSpaceDN/>
              <w:adjustRightInd/>
              <w:jc w:val="center"/>
              <w:textAlignment w:val="auto"/>
              <w:rPr>
                <w:rFonts w:asciiTheme="minorHAnsi" w:hAnsiTheme="minorHAnsi"/>
                <w:position w:val="-6"/>
                <w:sz w:val="24"/>
                <w:szCs w:val="24"/>
              </w:rPr>
            </w:pPr>
            <w:r w:rsidRPr="00FF1B40">
              <w:rPr>
                <w:rFonts w:asciiTheme="minorHAnsi" w:hAnsiTheme="minorHAnsi"/>
                <w:position w:val="-6"/>
                <w:sz w:val="24"/>
                <w:szCs w:val="24"/>
              </w:rPr>
              <w:t>25-44</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89</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12,6</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111</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12,0</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200</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12,2</w:t>
            </w:r>
          </w:p>
        </w:tc>
        <w:tc>
          <w:tcPr>
            <w:tcW w:w="648"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7.2</w:t>
            </w:r>
          </w:p>
        </w:tc>
        <w:tc>
          <w:tcPr>
            <w:tcW w:w="403" w:type="pct"/>
            <w:tcBorders>
              <w:top w:val="outset" w:sz="6" w:space="0" w:color="548DD4" w:themeColor="text2" w:themeTint="99"/>
              <w:bottom w:val="outset" w:sz="6" w:space="0" w:color="548DD4" w:themeColor="text2" w:themeTint="99"/>
              <w:right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13.2</w:t>
            </w:r>
          </w:p>
        </w:tc>
      </w:tr>
      <w:tr w:rsidR="00CC5FD1" w:rsidRPr="00FF1B40" w:rsidTr="00CC5FD1">
        <w:trPr>
          <w:trHeight w:val="315"/>
        </w:trPr>
        <w:tc>
          <w:tcPr>
            <w:cnfStyle w:val="001000000000"/>
            <w:tcW w:w="804" w:type="pct"/>
            <w:tcBorders>
              <w:top w:val="outset" w:sz="6" w:space="0" w:color="548DD4" w:themeColor="text2" w:themeTint="99"/>
              <w:left w:val="outset" w:sz="6" w:space="0" w:color="548DD4" w:themeColor="text2" w:themeTint="99"/>
              <w:bottom w:val="outset" w:sz="6" w:space="0" w:color="548DD4" w:themeColor="text2" w:themeTint="99"/>
            </w:tcBorders>
            <w:hideMark/>
          </w:tcPr>
          <w:p w:rsidR="00CC5FD1" w:rsidRPr="00FF1B40" w:rsidRDefault="00CC5FD1" w:rsidP="00DF4550">
            <w:pPr>
              <w:overflowPunct/>
              <w:autoSpaceDE/>
              <w:autoSpaceDN/>
              <w:adjustRightInd/>
              <w:jc w:val="center"/>
              <w:textAlignment w:val="auto"/>
              <w:rPr>
                <w:rFonts w:asciiTheme="minorHAnsi" w:hAnsiTheme="minorHAnsi"/>
                <w:position w:val="-6"/>
                <w:sz w:val="24"/>
                <w:szCs w:val="24"/>
              </w:rPr>
            </w:pPr>
            <w:r w:rsidRPr="00FF1B40">
              <w:rPr>
                <w:rFonts w:asciiTheme="minorHAnsi" w:hAnsiTheme="minorHAnsi"/>
                <w:position w:val="-6"/>
                <w:sz w:val="24"/>
                <w:szCs w:val="24"/>
              </w:rPr>
              <w:t>45-64</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138</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19,5</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211</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22,8</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349</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21,4</w:t>
            </w:r>
          </w:p>
        </w:tc>
        <w:tc>
          <w:tcPr>
            <w:tcW w:w="648"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6.4</w:t>
            </w:r>
          </w:p>
        </w:tc>
        <w:tc>
          <w:tcPr>
            <w:tcW w:w="403" w:type="pct"/>
            <w:tcBorders>
              <w:top w:val="outset" w:sz="6" w:space="0" w:color="548DD4" w:themeColor="text2" w:themeTint="99"/>
              <w:bottom w:val="outset" w:sz="6" w:space="0" w:color="548DD4" w:themeColor="text2" w:themeTint="99"/>
              <w:right w:val="in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13.8</w:t>
            </w:r>
          </w:p>
        </w:tc>
      </w:tr>
      <w:tr w:rsidR="00CC5FD1" w:rsidRPr="00FF1B40" w:rsidTr="00CC5FD1">
        <w:trPr>
          <w:cnfStyle w:val="000000100000"/>
          <w:trHeight w:val="315"/>
        </w:trPr>
        <w:tc>
          <w:tcPr>
            <w:cnfStyle w:val="001000000000"/>
            <w:tcW w:w="804" w:type="pct"/>
            <w:tcBorders>
              <w:top w:val="outset" w:sz="6" w:space="0" w:color="548DD4" w:themeColor="text2" w:themeTint="99"/>
              <w:left w:val="outset" w:sz="6" w:space="0" w:color="548DD4" w:themeColor="text2" w:themeTint="99"/>
              <w:bottom w:val="outset" w:sz="6" w:space="0" w:color="548DD4" w:themeColor="text2" w:themeTint="99"/>
            </w:tcBorders>
            <w:hideMark/>
          </w:tcPr>
          <w:p w:rsidR="00CC5FD1" w:rsidRPr="00FF1B40" w:rsidRDefault="00CC5FD1" w:rsidP="00DF4550">
            <w:pPr>
              <w:overflowPunct/>
              <w:autoSpaceDE/>
              <w:autoSpaceDN/>
              <w:adjustRightInd/>
              <w:jc w:val="center"/>
              <w:textAlignment w:val="auto"/>
              <w:rPr>
                <w:rFonts w:asciiTheme="minorHAnsi" w:hAnsiTheme="minorHAnsi"/>
                <w:position w:val="-6"/>
                <w:sz w:val="24"/>
                <w:szCs w:val="24"/>
              </w:rPr>
            </w:pPr>
            <w:r w:rsidRPr="00FF1B40">
              <w:rPr>
                <w:rFonts w:asciiTheme="minorHAnsi" w:hAnsiTheme="minorHAnsi"/>
                <w:position w:val="-6"/>
                <w:sz w:val="24"/>
                <w:szCs w:val="24"/>
              </w:rPr>
              <w:t>65 +</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248</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35,0</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304</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32,9</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552</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33,8</w:t>
            </w:r>
          </w:p>
        </w:tc>
        <w:tc>
          <w:tcPr>
            <w:tcW w:w="648"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4.7</w:t>
            </w:r>
          </w:p>
        </w:tc>
        <w:tc>
          <w:tcPr>
            <w:tcW w:w="403" w:type="pct"/>
            <w:tcBorders>
              <w:top w:val="outset" w:sz="6" w:space="0" w:color="548DD4" w:themeColor="text2" w:themeTint="99"/>
              <w:bottom w:val="outset" w:sz="6" w:space="0" w:color="548DD4" w:themeColor="text2" w:themeTint="99"/>
              <w:right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9.4</w:t>
            </w:r>
          </w:p>
        </w:tc>
      </w:tr>
      <w:tr w:rsidR="00CC5FD1" w:rsidRPr="00FF1B40" w:rsidTr="00CC5FD1">
        <w:trPr>
          <w:trHeight w:val="345"/>
        </w:trPr>
        <w:tc>
          <w:tcPr>
            <w:cnfStyle w:val="001000000000"/>
            <w:tcW w:w="804" w:type="pct"/>
            <w:tcBorders>
              <w:top w:val="outset" w:sz="6" w:space="0" w:color="548DD4" w:themeColor="text2" w:themeTint="99"/>
              <w:left w:val="outset" w:sz="6" w:space="0" w:color="548DD4" w:themeColor="text2" w:themeTint="99"/>
              <w:bottom w:val="outset" w:sz="6" w:space="0" w:color="548DD4" w:themeColor="text2" w:themeTint="99"/>
            </w:tcBorders>
            <w:hideMark/>
          </w:tcPr>
          <w:p w:rsidR="00CC5FD1" w:rsidRPr="00FF1B40" w:rsidRDefault="00CC5FD1" w:rsidP="00DF4550">
            <w:pPr>
              <w:overflowPunct/>
              <w:autoSpaceDE/>
              <w:autoSpaceDN/>
              <w:adjustRightInd/>
              <w:jc w:val="center"/>
              <w:textAlignment w:val="auto"/>
              <w:rPr>
                <w:rFonts w:asciiTheme="minorHAnsi" w:hAnsiTheme="minorHAnsi"/>
                <w:position w:val="-6"/>
                <w:sz w:val="24"/>
                <w:szCs w:val="24"/>
              </w:rPr>
            </w:pPr>
            <w:r w:rsidRPr="00FF1B40">
              <w:rPr>
                <w:rFonts w:asciiTheme="minorHAnsi" w:hAnsiTheme="minorHAnsi"/>
                <w:position w:val="-6"/>
                <w:sz w:val="24"/>
                <w:szCs w:val="24"/>
              </w:rPr>
              <w:t>Indéterminé</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0,3</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4</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0,4</w:t>
            </w:r>
          </w:p>
        </w:tc>
        <w:tc>
          <w:tcPr>
            <w:tcW w:w="514"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6</w:t>
            </w:r>
          </w:p>
        </w:tc>
        <w:tc>
          <w:tcPr>
            <w:tcW w:w="535"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0,4</w:t>
            </w:r>
          </w:p>
        </w:tc>
        <w:tc>
          <w:tcPr>
            <w:tcW w:w="648" w:type="pct"/>
            <w:tcBorders>
              <w:top w:val="outset" w:sz="6" w:space="0" w:color="548DD4" w:themeColor="text2" w:themeTint="99"/>
              <w:bottom w:val="out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2.8</w:t>
            </w:r>
          </w:p>
        </w:tc>
        <w:tc>
          <w:tcPr>
            <w:tcW w:w="403" w:type="pct"/>
            <w:tcBorders>
              <w:top w:val="outset" w:sz="6" w:space="0" w:color="548DD4" w:themeColor="text2" w:themeTint="99"/>
              <w:bottom w:val="outset" w:sz="6" w:space="0" w:color="548DD4" w:themeColor="text2" w:themeTint="99"/>
              <w:right w:val="inset" w:sz="6" w:space="0" w:color="548DD4" w:themeColor="text2" w:themeTint="99"/>
            </w:tcBorders>
          </w:tcPr>
          <w:p w:rsidR="00CC5FD1" w:rsidRPr="008F6B0F" w:rsidRDefault="00CC5FD1"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4.5</w:t>
            </w:r>
          </w:p>
        </w:tc>
      </w:tr>
      <w:tr w:rsidR="00CC5FD1" w:rsidRPr="00FF1B40" w:rsidTr="00CC5FD1">
        <w:trPr>
          <w:cnfStyle w:val="000000100000"/>
          <w:trHeight w:val="315"/>
        </w:trPr>
        <w:tc>
          <w:tcPr>
            <w:cnfStyle w:val="001000000000"/>
            <w:tcW w:w="804" w:type="pct"/>
            <w:tcBorders>
              <w:top w:val="outset" w:sz="6" w:space="0" w:color="548DD4" w:themeColor="text2" w:themeTint="99"/>
              <w:left w:val="outset" w:sz="6" w:space="0" w:color="548DD4" w:themeColor="text2" w:themeTint="99"/>
              <w:bottom w:val="inset" w:sz="6" w:space="0" w:color="548DD4" w:themeColor="text2" w:themeTint="99"/>
            </w:tcBorders>
            <w:hideMark/>
          </w:tcPr>
          <w:p w:rsidR="00CC5FD1" w:rsidRPr="00FF1B40" w:rsidRDefault="00CC5FD1" w:rsidP="00DF4550">
            <w:pPr>
              <w:overflowPunct/>
              <w:autoSpaceDE/>
              <w:autoSpaceDN/>
              <w:adjustRightInd/>
              <w:jc w:val="center"/>
              <w:textAlignment w:val="auto"/>
              <w:rPr>
                <w:rFonts w:asciiTheme="minorHAnsi" w:hAnsiTheme="minorHAnsi"/>
                <w:position w:val="-6"/>
                <w:sz w:val="24"/>
                <w:szCs w:val="24"/>
              </w:rPr>
            </w:pPr>
            <w:r w:rsidRPr="00FF1B40">
              <w:rPr>
                <w:rFonts w:asciiTheme="minorHAnsi" w:hAnsiTheme="minorHAnsi"/>
                <w:position w:val="-6"/>
                <w:sz w:val="24"/>
                <w:szCs w:val="24"/>
              </w:rPr>
              <w:t>Ensemble</w:t>
            </w:r>
          </w:p>
        </w:tc>
        <w:tc>
          <w:tcPr>
            <w:tcW w:w="514" w:type="pct"/>
            <w:tcBorders>
              <w:top w:val="outset" w:sz="6" w:space="0" w:color="548DD4" w:themeColor="text2" w:themeTint="99"/>
              <w:bottom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709</w:t>
            </w:r>
          </w:p>
        </w:tc>
        <w:tc>
          <w:tcPr>
            <w:tcW w:w="535" w:type="pct"/>
            <w:tcBorders>
              <w:top w:val="outset" w:sz="6" w:space="0" w:color="548DD4" w:themeColor="text2" w:themeTint="99"/>
              <w:bottom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100,0</w:t>
            </w:r>
          </w:p>
        </w:tc>
        <w:tc>
          <w:tcPr>
            <w:tcW w:w="514" w:type="pct"/>
            <w:tcBorders>
              <w:top w:val="outset" w:sz="6" w:space="0" w:color="548DD4" w:themeColor="text2" w:themeTint="99"/>
              <w:bottom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924</w:t>
            </w:r>
          </w:p>
        </w:tc>
        <w:tc>
          <w:tcPr>
            <w:tcW w:w="535" w:type="pct"/>
            <w:tcBorders>
              <w:top w:val="outset" w:sz="6" w:space="0" w:color="548DD4" w:themeColor="text2" w:themeTint="99"/>
              <w:bottom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100,0</w:t>
            </w:r>
          </w:p>
        </w:tc>
        <w:tc>
          <w:tcPr>
            <w:tcW w:w="514" w:type="pct"/>
            <w:tcBorders>
              <w:top w:val="outset" w:sz="6" w:space="0" w:color="548DD4" w:themeColor="text2" w:themeTint="99"/>
              <w:bottom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1633</w:t>
            </w:r>
          </w:p>
        </w:tc>
        <w:tc>
          <w:tcPr>
            <w:tcW w:w="535" w:type="pct"/>
            <w:tcBorders>
              <w:top w:val="outset" w:sz="6" w:space="0" w:color="548DD4" w:themeColor="text2" w:themeTint="99"/>
              <w:bottom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100,0</w:t>
            </w:r>
          </w:p>
        </w:tc>
        <w:tc>
          <w:tcPr>
            <w:tcW w:w="648" w:type="pct"/>
            <w:tcBorders>
              <w:top w:val="outset" w:sz="6" w:space="0" w:color="548DD4" w:themeColor="text2" w:themeTint="99"/>
              <w:bottom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6.1</w:t>
            </w:r>
          </w:p>
        </w:tc>
        <w:tc>
          <w:tcPr>
            <w:tcW w:w="403" w:type="pct"/>
            <w:tcBorders>
              <w:top w:val="outset" w:sz="6" w:space="0" w:color="548DD4" w:themeColor="text2" w:themeTint="99"/>
              <w:bottom w:val="inset" w:sz="6" w:space="0" w:color="548DD4" w:themeColor="text2" w:themeTint="99"/>
              <w:right w:val="inset" w:sz="6" w:space="0" w:color="548DD4" w:themeColor="text2" w:themeTint="99"/>
            </w:tcBorders>
          </w:tcPr>
          <w:p w:rsidR="00CC5FD1" w:rsidRPr="008F6B0F" w:rsidRDefault="00CC5FD1"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12.0</w:t>
            </w:r>
          </w:p>
        </w:tc>
      </w:tr>
    </w:tbl>
    <w:p w:rsidR="004221E6" w:rsidRPr="00036D26" w:rsidRDefault="004221E6" w:rsidP="00B8018A">
      <w:pPr>
        <w:ind w:right="180"/>
        <w:rPr>
          <w:rFonts w:asciiTheme="minorHAnsi" w:hAnsiTheme="minorHAnsi" w:cstheme="majorBidi"/>
          <w:position w:val="-6"/>
          <w:sz w:val="24"/>
          <w:szCs w:val="24"/>
        </w:rPr>
      </w:pPr>
    </w:p>
    <w:p w:rsidR="001A594C" w:rsidRPr="00654EF2" w:rsidRDefault="001A594C" w:rsidP="000544E4">
      <w:pPr>
        <w:ind w:left="57" w:right="180"/>
        <w:jc w:val="both"/>
        <w:rPr>
          <w:rFonts w:asciiTheme="minorHAnsi" w:hAnsiTheme="minorHAnsi" w:cstheme="majorBidi"/>
          <w:position w:val="-6"/>
          <w:sz w:val="2"/>
          <w:szCs w:val="2"/>
        </w:rPr>
      </w:pPr>
    </w:p>
    <w:p w:rsidR="00036D26" w:rsidRPr="00036D26" w:rsidRDefault="00036D26" w:rsidP="000544E4">
      <w:pPr>
        <w:ind w:left="57" w:right="180"/>
        <w:jc w:val="both"/>
        <w:rPr>
          <w:rFonts w:asciiTheme="minorHAnsi" w:hAnsiTheme="minorHAnsi" w:cstheme="majorBidi"/>
          <w:position w:val="-6"/>
          <w:sz w:val="24"/>
          <w:szCs w:val="24"/>
        </w:rPr>
      </w:pPr>
    </w:p>
    <w:p w:rsidR="0033246A" w:rsidRPr="005B7885" w:rsidRDefault="009B1FDB" w:rsidP="00B65EE0">
      <w:pPr>
        <w:ind w:right="180"/>
        <w:jc w:val="both"/>
        <w:rPr>
          <w:rFonts w:asciiTheme="minorHAnsi" w:hAnsiTheme="minorHAnsi" w:cstheme="majorBidi"/>
          <w:position w:val="-6"/>
          <w:sz w:val="12"/>
          <w:szCs w:val="12"/>
        </w:rPr>
      </w:pPr>
      <w:r w:rsidRPr="00036D26">
        <w:rPr>
          <w:rFonts w:asciiTheme="minorHAnsi" w:hAnsiTheme="minorHAnsi" w:cstheme="majorBidi"/>
          <w:position w:val="-6"/>
          <w:sz w:val="24"/>
          <w:szCs w:val="24"/>
        </w:rPr>
        <w:t xml:space="preserve">Le nombre de décès enregistré chez les </w:t>
      </w:r>
      <w:r w:rsidR="00D41243" w:rsidRPr="00036D26">
        <w:rPr>
          <w:rFonts w:asciiTheme="minorHAnsi" w:hAnsiTheme="minorHAnsi" w:cstheme="majorBidi"/>
          <w:position w:val="-6"/>
          <w:sz w:val="24"/>
          <w:szCs w:val="24"/>
        </w:rPr>
        <w:t>femmes</w:t>
      </w:r>
      <w:r w:rsidR="00D41243">
        <w:rPr>
          <w:rFonts w:asciiTheme="minorHAnsi" w:hAnsiTheme="minorHAnsi" w:cstheme="majorBidi"/>
          <w:position w:val="-6"/>
          <w:sz w:val="24"/>
          <w:szCs w:val="24"/>
        </w:rPr>
        <w:t xml:space="preserve"> </w:t>
      </w:r>
      <w:r w:rsidR="00D41243" w:rsidRPr="00036D26">
        <w:rPr>
          <w:rFonts w:asciiTheme="minorHAnsi" w:hAnsiTheme="minorHAnsi" w:cstheme="majorBidi"/>
          <w:position w:val="-6"/>
          <w:sz w:val="24"/>
          <w:szCs w:val="24"/>
        </w:rPr>
        <w:t>en</w:t>
      </w:r>
      <w:r w:rsidR="00B82969" w:rsidRPr="00036D26">
        <w:rPr>
          <w:rFonts w:asciiTheme="minorHAnsi" w:hAnsiTheme="minorHAnsi" w:cstheme="majorBidi"/>
          <w:position w:val="-6"/>
          <w:sz w:val="24"/>
          <w:szCs w:val="24"/>
        </w:rPr>
        <w:t xml:space="preserve"> âge</w:t>
      </w:r>
      <w:r w:rsidR="00D41243">
        <w:rPr>
          <w:rFonts w:asciiTheme="minorHAnsi" w:hAnsiTheme="minorHAnsi" w:cstheme="majorBidi"/>
          <w:position w:val="-6"/>
          <w:sz w:val="24"/>
          <w:szCs w:val="24"/>
        </w:rPr>
        <w:t xml:space="preserve"> </w:t>
      </w:r>
      <w:r w:rsidR="00B82969" w:rsidRPr="00036D26">
        <w:rPr>
          <w:rFonts w:asciiTheme="minorHAnsi" w:hAnsiTheme="minorHAnsi" w:cstheme="majorBidi"/>
          <w:position w:val="-6"/>
          <w:sz w:val="24"/>
          <w:szCs w:val="24"/>
        </w:rPr>
        <w:t>de procréer</w:t>
      </w:r>
      <w:r w:rsidR="00573A34" w:rsidRPr="00036D26">
        <w:rPr>
          <w:rFonts w:asciiTheme="minorHAnsi" w:hAnsiTheme="minorHAnsi" w:cstheme="majorBidi"/>
          <w:position w:val="-6"/>
          <w:sz w:val="24"/>
          <w:szCs w:val="24"/>
        </w:rPr>
        <w:t xml:space="preserve"> (15-44 ans) </w:t>
      </w:r>
      <w:r w:rsidR="00654EF2" w:rsidRPr="00036D26">
        <w:rPr>
          <w:rFonts w:asciiTheme="minorHAnsi" w:hAnsiTheme="minorHAnsi" w:cstheme="majorBidi"/>
          <w:position w:val="-6"/>
          <w:sz w:val="24"/>
          <w:szCs w:val="24"/>
        </w:rPr>
        <w:t>étai</w:t>
      </w:r>
      <w:r>
        <w:rPr>
          <w:rFonts w:asciiTheme="minorHAnsi" w:hAnsiTheme="minorHAnsi" w:cstheme="majorBidi"/>
          <w:position w:val="-6"/>
          <w:sz w:val="24"/>
          <w:szCs w:val="24"/>
        </w:rPr>
        <w:t>t</w:t>
      </w:r>
      <w:r w:rsidR="0033246A">
        <w:rPr>
          <w:rFonts w:asciiTheme="minorHAnsi" w:hAnsiTheme="minorHAnsi" w:cstheme="majorBidi"/>
          <w:position w:val="-6"/>
          <w:sz w:val="24"/>
          <w:szCs w:val="24"/>
        </w:rPr>
        <w:t xml:space="preserve"> de</w:t>
      </w:r>
      <w:r w:rsidR="00FF1B40">
        <w:rPr>
          <w:rFonts w:asciiTheme="minorHAnsi" w:hAnsiTheme="minorHAnsi" w:cstheme="majorBidi"/>
          <w:position w:val="-6"/>
          <w:sz w:val="24"/>
          <w:szCs w:val="24"/>
        </w:rPr>
        <w:t xml:space="preserve"> 116</w:t>
      </w:r>
      <w:r w:rsidR="00D41243">
        <w:rPr>
          <w:rFonts w:asciiTheme="minorHAnsi" w:hAnsiTheme="minorHAnsi" w:cstheme="majorBidi"/>
          <w:position w:val="-6"/>
          <w:sz w:val="24"/>
          <w:szCs w:val="24"/>
        </w:rPr>
        <w:t xml:space="preserve"> </w:t>
      </w:r>
      <w:r w:rsidR="000C5F8A">
        <w:rPr>
          <w:rFonts w:asciiTheme="minorHAnsi" w:hAnsiTheme="minorHAnsi" w:cstheme="majorBidi"/>
          <w:position w:val="-6"/>
          <w:sz w:val="24"/>
          <w:szCs w:val="24"/>
        </w:rPr>
        <w:t xml:space="preserve">femmes </w:t>
      </w:r>
      <w:r w:rsidR="00573A34" w:rsidRPr="00036D26">
        <w:rPr>
          <w:rFonts w:asciiTheme="minorHAnsi" w:hAnsiTheme="minorHAnsi" w:cstheme="majorBidi"/>
          <w:position w:val="-6"/>
          <w:sz w:val="24"/>
          <w:szCs w:val="24"/>
        </w:rPr>
        <w:t>dont</w:t>
      </w:r>
      <w:r w:rsidR="00D41243">
        <w:rPr>
          <w:rFonts w:asciiTheme="minorHAnsi" w:hAnsiTheme="minorHAnsi" w:cstheme="majorBidi"/>
          <w:position w:val="-6"/>
          <w:sz w:val="24"/>
          <w:szCs w:val="24"/>
        </w:rPr>
        <w:t xml:space="preserve"> </w:t>
      </w:r>
      <w:r w:rsidR="00FF1B40">
        <w:rPr>
          <w:rFonts w:asciiTheme="minorHAnsi" w:hAnsiTheme="minorHAnsi" w:cstheme="majorBidi"/>
          <w:position w:val="-6"/>
          <w:sz w:val="24"/>
          <w:szCs w:val="24"/>
        </w:rPr>
        <w:t>7</w:t>
      </w:r>
      <w:r w:rsidR="00D41243">
        <w:rPr>
          <w:rFonts w:asciiTheme="minorHAnsi" w:hAnsiTheme="minorHAnsi" w:cstheme="majorBidi"/>
          <w:position w:val="-6"/>
          <w:sz w:val="24"/>
          <w:szCs w:val="24"/>
        </w:rPr>
        <w:t xml:space="preserve"> </w:t>
      </w:r>
      <w:r w:rsidR="0033246A">
        <w:rPr>
          <w:rFonts w:asciiTheme="minorHAnsi" w:hAnsiTheme="minorHAnsi" w:cstheme="majorBidi"/>
          <w:position w:val="-6"/>
          <w:sz w:val="24"/>
          <w:szCs w:val="24"/>
        </w:rPr>
        <w:t xml:space="preserve">décès </w:t>
      </w:r>
      <w:r w:rsidR="00573A34" w:rsidRPr="00036D26">
        <w:rPr>
          <w:rFonts w:asciiTheme="minorHAnsi" w:hAnsiTheme="minorHAnsi" w:cstheme="majorBidi"/>
          <w:position w:val="-6"/>
          <w:sz w:val="24"/>
          <w:szCs w:val="24"/>
        </w:rPr>
        <w:t>(</w:t>
      </w:r>
      <w:r w:rsidR="00B65EE0">
        <w:rPr>
          <w:rFonts w:asciiTheme="minorHAnsi" w:hAnsiTheme="minorHAnsi" w:cstheme="majorBidi"/>
          <w:position w:val="-6"/>
          <w:sz w:val="24"/>
          <w:szCs w:val="24"/>
        </w:rPr>
        <w:t>6.0</w:t>
      </w:r>
      <w:r w:rsidR="00534D0E" w:rsidRPr="00036D26">
        <w:rPr>
          <w:rFonts w:asciiTheme="minorHAnsi" w:hAnsiTheme="minorHAnsi" w:cstheme="majorBidi"/>
          <w:position w:val="-6"/>
          <w:sz w:val="24"/>
          <w:szCs w:val="24"/>
        </w:rPr>
        <w:t>%) éta</w:t>
      </w:r>
      <w:r w:rsidR="00B82969">
        <w:rPr>
          <w:rFonts w:asciiTheme="minorHAnsi" w:hAnsiTheme="minorHAnsi" w:cstheme="majorBidi"/>
          <w:position w:val="-6"/>
          <w:sz w:val="24"/>
          <w:szCs w:val="24"/>
        </w:rPr>
        <w:t>i</w:t>
      </w:r>
      <w:r w:rsidR="00534D0E" w:rsidRPr="00036D26">
        <w:rPr>
          <w:rFonts w:asciiTheme="minorHAnsi" w:hAnsiTheme="minorHAnsi" w:cstheme="majorBidi"/>
          <w:position w:val="-6"/>
          <w:sz w:val="24"/>
          <w:szCs w:val="24"/>
        </w:rPr>
        <w:t xml:space="preserve">t en rapport avec des problèmes de la grossesse et de </w:t>
      </w:r>
      <w:r w:rsidR="00EB1AD8" w:rsidRPr="00036D26">
        <w:rPr>
          <w:rFonts w:asciiTheme="minorHAnsi" w:hAnsiTheme="minorHAnsi" w:cstheme="majorBidi"/>
          <w:position w:val="-6"/>
          <w:sz w:val="24"/>
          <w:szCs w:val="24"/>
        </w:rPr>
        <w:t>l’</w:t>
      </w:r>
      <w:r w:rsidR="00534D0E" w:rsidRPr="00036D26">
        <w:rPr>
          <w:rFonts w:asciiTheme="minorHAnsi" w:hAnsiTheme="minorHAnsi" w:cstheme="majorBidi"/>
          <w:position w:val="-6"/>
          <w:sz w:val="24"/>
          <w:szCs w:val="24"/>
        </w:rPr>
        <w:t xml:space="preserve">accouchement.  </w:t>
      </w:r>
      <w:r w:rsidR="0033246A">
        <w:rPr>
          <w:rFonts w:asciiTheme="minorHAnsi" w:hAnsiTheme="minorHAnsi" w:cstheme="majorBidi"/>
          <w:position w:val="-6"/>
          <w:sz w:val="24"/>
          <w:szCs w:val="24"/>
        </w:rPr>
        <w:br/>
      </w:r>
    </w:p>
    <w:p w:rsidR="00EE3FBD" w:rsidRDefault="008A7772" w:rsidP="00843992">
      <w:pPr>
        <w:ind w:right="180"/>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Parmi les </w:t>
      </w:r>
      <w:r w:rsidR="00002806">
        <w:rPr>
          <w:rFonts w:asciiTheme="minorHAnsi" w:hAnsiTheme="minorHAnsi" w:cstheme="majorBidi"/>
          <w:position w:val="-6"/>
          <w:sz w:val="24"/>
          <w:szCs w:val="24"/>
        </w:rPr>
        <w:t>2</w:t>
      </w:r>
      <w:r w:rsidR="00B65EE0">
        <w:rPr>
          <w:rFonts w:asciiTheme="minorHAnsi" w:hAnsiTheme="minorHAnsi" w:cstheme="majorBidi"/>
          <w:position w:val="-6"/>
          <w:sz w:val="24"/>
          <w:szCs w:val="24"/>
        </w:rPr>
        <w:t>7</w:t>
      </w:r>
      <w:r w:rsidR="00843992">
        <w:rPr>
          <w:rFonts w:asciiTheme="minorHAnsi" w:hAnsiTheme="minorHAnsi" w:cstheme="majorBidi"/>
          <w:position w:val="-6"/>
          <w:sz w:val="24"/>
          <w:szCs w:val="24"/>
        </w:rPr>
        <w:t xml:space="preserve"> diagnostics inconnus </w:t>
      </w:r>
      <w:r w:rsidR="0033246A">
        <w:rPr>
          <w:rFonts w:asciiTheme="minorHAnsi" w:hAnsiTheme="minorHAnsi" w:cstheme="majorBidi"/>
          <w:position w:val="-6"/>
          <w:sz w:val="24"/>
          <w:szCs w:val="24"/>
        </w:rPr>
        <w:t>e</w:t>
      </w:r>
      <w:r w:rsidR="00EE3FBD" w:rsidRPr="00036D26">
        <w:rPr>
          <w:rFonts w:asciiTheme="minorHAnsi" w:hAnsiTheme="minorHAnsi" w:cstheme="majorBidi"/>
          <w:position w:val="-6"/>
          <w:sz w:val="24"/>
          <w:szCs w:val="24"/>
        </w:rPr>
        <w:t>nreg</w:t>
      </w:r>
      <w:r w:rsidR="00246972" w:rsidRPr="00036D26">
        <w:rPr>
          <w:rFonts w:asciiTheme="minorHAnsi" w:hAnsiTheme="minorHAnsi" w:cstheme="majorBidi"/>
          <w:position w:val="-6"/>
          <w:sz w:val="24"/>
          <w:szCs w:val="24"/>
        </w:rPr>
        <w:t xml:space="preserve">istrés, le service des </w:t>
      </w:r>
      <w:r w:rsidR="005B7885">
        <w:rPr>
          <w:rFonts w:asciiTheme="minorHAnsi" w:hAnsiTheme="minorHAnsi" w:cstheme="majorBidi"/>
          <w:position w:val="-6"/>
          <w:sz w:val="24"/>
          <w:szCs w:val="24"/>
        </w:rPr>
        <w:t xml:space="preserve">UMC </w:t>
      </w:r>
      <w:r w:rsidR="00EE3FBD" w:rsidRPr="00036D26">
        <w:rPr>
          <w:rFonts w:asciiTheme="minorHAnsi" w:hAnsiTheme="minorHAnsi" w:cstheme="majorBidi"/>
          <w:position w:val="-6"/>
          <w:sz w:val="24"/>
          <w:szCs w:val="24"/>
        </w:rPr>
        <w:t xml:space="preserve">en </w:t>
      </w:r>
      <w:r w:rsidR="000544E4" w:rsidRPr="00036D26">
        <w:rPr>
          <w:rFonts w:asciiTheme="minorHAnsi" w:hAnsiTheme="minorHAnsi" w:cstheme="majorBidi"/>
          <w:position w:val="-6"/>
          <w:sz w:val="24"/>
          <w:szCs w:val="24"/>
        </w:rPr>
        <w:t xml:space="preserve">a </w:t>
      </w:r>
      <w:r w:rsidR="00D41243">
        <w:rPr>
          <w:rFonts w:asciiTheme="minorHAnsi" w:hAnsiTheme="minorHAnsi" w:cstheme="majorBidi"/>
          <w:position w:val="-6"/>
          <w:sz w:val="24"/>
          <w:szCs w:val="24"/>
        </w:rPr>
        <w:t>enregistré la</w:t>
      </w:r>
      <w:r w:rsidR="0033246A">
        <w:rPr>
          <w:rFonts w:asciiTheme="minorHAnsi" w:hAnsiTheme="minorHAnsi" w:cstheme="majorBidi"/>
          <w:position w:val="-6"/>
          <w:sz w:val="24"/>
          <w:szCs w:val="24"/>
        </w:rPr>
        <w:t xml:space="preserve"> plus grande </w:t>
      </w:r>
      <w:r w:rsidR="00D41243">
        <w:rPr>
          <w:rFonts w:asciiTheme="minorHAnsi" w:hAnsiTheme="minorHAnsi" w:cstheme="majorBidi"/>
          <w:position w:val="-6"/>
          <w:sz w:val="24"/>
          <w:szCs w:val="24"/>
        </w:rPr>
        <w:t>proportion (</w:t>
      </w:r>
      <w:r w:rsidR="00B65EE0">
        <w:rPr>
          <w:rFonts w:asciiTheme="minorHAnsi" w:hAnsiTheme="minorHAnsi" w:cstheme="majorBidi"/>
          <w:position w:val="-6"/>
          <w:sz w:val="24"/>
          <w:szCs w:val="24"/>
        </w:rPr>
        <w:t>48</w:t>
      </w:r>
      <w:r w:rsidR="000544E4" w:rsidRPr="00036D26">
        <w:rPr>
          <w:rFonts w:asciiTheme="minorHAnsi" w:hAnsiTheme="minorHAnsi" w:cstheme="majorBidi"/>
          <w:position w:val="-6"/>
          <w:sz w:val="24"/>
          <w:szCs w:val="24"/>
        </w:rPr>
        <w:t>.</w:t>
      </w:r>
      <w:r w:rsidR="00B65EE0">
        <w:rPr>
          <w:rFonts w:asciiTheme="minorHAnsi" w:hAnsiTheme="minorHAnsi" w:cstheme="majorBidi"/>
          <w:position w:val="-6"/>
          <w:sz w:val="24"/>
          <w:szCs w:val="24"/>
        </w:rPr>
        <w:t>1</w:t>
      </w:r>
      <w:r w:rsidR="00EE3FBD" w:rsidRPr="00036D26">
        <w:rPr>
          <w:rFonts w:asciiTheme="minorHAnsi" w:hAnsiTheme="minorHAnsi" w:cstheme="majorBidi"/>
          <w:position w:val="-6"/>
          <w:sz w:val="24"/>
          <w:szCs w:val="24"/>
        </w:rPr>
        <w:t>%</w:t>
      </w:r>
      <w:r w:rsidR="00843992">
        <w:rPr>
          <w:rFonts w:asciiTheme="minorHAnsi" w:hAnsiTheme="minorHAnsi" w:cstheme="majorBidi"/>
          <w:position w:val="-6"/>
          <w:sz w:val="24"/>
          <w:szCs w:val="24"/>
        </w:rPr>
        <w:t>)</w:t>
      </w:r>
      <w:r w:rsidR="00EE3FBD" w:rsidRPr="00036D26">
        <w:rPr>
          <w:rFonts w:asciiTheme="minorHAnsi" w:hAnsiTheme="minorHAnsi" w:cstheme="majorBidi"/>
          <w:position w:val="-6"/>
          <w:sz w:val="24"/>
          <w:szCs w:val="24"/>
        </w:rPr>
        <w:t xml:space="preserve">, suivi </w:t>
      </w:r>
      <w:r w:rsidR="00560A63" w:rsidRPr="00036D26">
        <w:rPr>
          <w:rFonts w:asciiTheme="minorHAnsi" w:hAnsiTheme="minorHAnsi" w:cstheme="majorBidi"/>
          <w:position w:val="-6"/>
          <w:sz w:val="24"/>
          <w:szCs w:val="24"/>
        </w:rPr>
        <w:t>par</w:t>
      </w:r>
      <w:r w:rsidR="00B65EE0">
        <w:rPr>
          <w:rFonts w:asciiTheme="minorHAnsi" w:hAnsiTheme="minorHAnsi" w:cstheme="majorBidi"/>
          <w:position w:val="-6"/>
          <w:sz w:val="24"/>
          <w:szCs w:val="24"/>
        </w:rPr>
        <w:t xml:space="preserve"> la médecine interne (22.2%). Le service de neurologie médicale et le service de chirurgie infantile arrivaient en 3eme position simultanément (11.1%). Le service de</w:t>
      </w:r>
      <w:r w:rsidR="000544E4" w:rsidRPr="00036D26">
        <w:rPr>
          <w:rFonts w:asciiTheme="minorHAnsi" w:hAnsiTheme="minorHAnsi" w:cstheme="majorBidi"/>
          <w:position w:val="-6"/>
          <w:sz w:val="24"/>
          <w:szCs w:val="24"/>
        </w:rPr>
        <w:t xml:space="preserve"> pédiatrie</w:t>
      </w:r>
      <w:r w:rsidR="00B65EE0">
        <w:rPr>
          <w:rFonts w:asciiTheme="minorHAnsi" w:hAnsiTheme="minorHAnsi" w:cstheme="majorBidi"/>
          <w:position w:val="-6"/>
          <w:sz w:val="24"/>
          <w:szCs w:val="24"/>
        </w:rPr>
        <w:t xml:space="preserve"> et le service de chirurgie générale sont  arrivés en dernier </w:t>
      </w:r>
      <w:r w:rsidR="000544E4" w:rsidRPr="00036D26">
        <w:rPr>
          <w:rFonts w:asciiTheme="minorHAnsi" w:hAnsiTheme="minorHAnsi" w:cstheme="majorBidi"/>
          <w:position w:val="-6"/>
          <w:sz w:val="24"/>
          <w:szCs w:val="24"/>
        </w:rPr>
        <w:t>avec</w:t>
      </w:r>
      <w:r w:rsidR="00B65EE0">
        <w:rPr>
          <w:rFonts w:asciiTheme="minorHAnsi" w:hAnsiTheme="minorHAnsi" w:cstheme="majorBidi"/>
          <w:position w:val="-6"/>
          <w:sz w:val="24"/>
          <w:szCs w:val="24"/>
        </w:rPr>
        <w:t xml:space="preserve"> 3.7% pour chacun, a</w:t>
      </w:r>
      <w:r w:rsidR="000544E4" w:rsidRPr="00036D26">
        <w:rPr>
          <w:rFonts w:asciiTheme="minorHAnsi" w:hAnsiTheme="minorHAnsi" w:cstheme="majorBidi"/>
          <w:position w:val="-6"/>
          <w:sz w:val="24"/>
          <w:szCs w:val="24"/>
        </w:rPr>
        <w:t>lors qu’aucun cas n’a été enregistré dans les autres services.</w:t>
      </w:r>
    </w:p>
    <w:p w:rsidR="001A594C" w:rsidRDefault="001A594C" w:rsidP="00710815">
      <w:pPr>
        <w:ind w:right="180"/>
        <w:rPr>
          <w:rFonts w:asciiTheme="minorHAnsi" w:hAnsiTheme="minorHAnsi" w:cstheme="majorBidi"/>
          <w:position w:val="-6"/>
          <w:sz w:val="14"/>
          <w:szCs w:val="14"/>
        </w:rPr>
      </w:pPr>
    </w:p>
    <w:p w:rsidR="005438D0" w:rsidRDefault="00B6444B" w:rsidP="001339C0">
      <w:pPr>
        <w:ind w:right="180"/>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Les maladies de l’appareil circulatoire constituaient la </w:t>
      </w:r>
      <w:r w:rsidR="00843992">
        <w:rPr>
          <w:rFonts w:asciiTheme="minorHAnsi" w:hAnsiTheme="minorHAnsi" w:cstheme="majorBidi"/>
          <w:position w:val="-6"/>
          <w:sz w:val="24"/>
          <w:szCs w:val="24"/>
        </w:rPr>
        <w:t xml:space="preserve">première cause </w:t>
      </w:r>
      <w:r w:rsidR="008C2882">
        <w:rPr>
          <w:rFonts w:asciiTheme="minorHAnsi" w:hAnsiTheme="minorHAnsi" w:cstheme="majorBidi"/>
          <w:position w:val="-6"/>
          <w:sz w:val="24"/>
          <w:szCs w:val="24"/>
        </w:rPr>
        <w:t xml:space="preserve">de mortalité hospitalière avec </w:t>
      </w:r>
      <w:r w:rsidR="00D91C56">
        <w:rPr>
          <w:rFonts w:asciiTheme="minorHAnsi" w:hAnsiTheme="minorHAnsi" w:cstheme="majorBidi"/>
          <w:position w:val="-6"/>
          <w:sz w:val="24"/>
          <w:szCs w:val="24"/>
        </w:rPr>
        <w:t>29</w:t>
      </w:r>
      <w:r w:rsidR="00B34AAC">
        <w:rPr>
          <w:rFonts w:asciiTheme="minorHAnsi" w:hAnsiTheme="minorHAnsi" w:cstheme="majorBidi"/>
          <w:position w:val="-6"/>
          <w:sz w:val="24"/>
          <w:szCs w:val="24"/>
        </w:rPr>
        <w:t>.1</w:t>
      </w:r>
      <w:r w:rsidR="00D41243">
        <w:rPr>
          <w:rFonts w:asciiTheme="minorHAnsi" w:hAnsiTheme="minorHAnsi" w:cstheme="majorBidi"/>
          <w:position w:val="-6"/>
          <w:sz w:val="24"/>
          <w:szCs w:val="24"/>
        </w:rPr>
        <w:t xml:space="preserve"> </w:t>
      </w:r>
      <w:r w:rsidR="003B0691" w:rsidRPr="00036D26">
        <w:rPr>
          <w:rFonts w:asciiTheme="minorHAnsi" w:hAnsiTheme="minorHAnsi" w:cstheme="majorBidi"/>
          <w:position w:val="-6"/>
          <w:sz w:val="24"/>
          <w:szCs w:val="24"/>
        </w:rPr>
        <w:t>%</w:t>
      </w:r>
      <w:r w:rsidR="008C2882">
        <w:rPr>
          <w:rFonts w:asciiTheme="minorHAnsi" w:hAnsiTheme="minorHAnsi" w:cstheme="majorBidi"/>
          <w:position w:val="-6"/>
          <w:sz w:val="24"/>
          <w:szCs w:val="24"/>
        </w:rPr>
        <w:t xml:space="preserve"> des </w:t>
      </w:r>
      <w:r w:rsidR="005C74E2">
        <w:rPr>
          <w:rFonts w:asciiTheme="minorHAnsi" w:hAnsiTheme="minorHAnsi" w:cstheme="majorBidi"/>
          <w:position w:val="-6"/>
          <w:sz w:val="24"/>
          <w:szCs w:val="24"/>
        </w:rPr>
        <w:t>décès</w:t>
      </w:r>
      <w:r w:rsidR="008C2882">
        <w:rPr>
          <w:rFonts w:asciiTheme="minorHAnsi" w:hAnsiTheme="minorHAnsi" w:cstheme="majorBidi"/>
          <w:position w:val="-6"/>
          <w:sz w:val="24"/>
          <w:szCs w:val="24"/>
        </w:rPr>
        <w:t>. Les accidents vasculaires cérébraux (AVC) occupaient la pr</w:t>
      </w:r>
      <w:r w:rsidR="005C74E2">
        <w:rPr>
          <w:rFonts w:asciiTheme="minorHAnsi" w:hAnsiTheme="minorHAnsi" w:cstheme="majorBidi"/>
          <w:position w:val="-6"/>
          <w:sz w:val="24"/>
          <w:szCs w:val="24"/>
        </w:rPr>
        <w:t>emière place avec 63.8</w:t>
      </w:r>
      <w:r w:rsidR="00D41243">
        <w:rPr>
          <w:rFonts w:asciiTheme="minorHAnsi" w:hAnsiTheme="minorHAnsi" w:cstheme="majorBidi"/>
          <w:position w:val="-6"/>
          <w:sz w:val="24"/>
          <w:szCs w:val="24"/>
        </w:rPr>
        <w:t xml:space="preserve"> </w:t>
      </w:r>
      <w:r w:rsidR="008C2882">
        <w:rPr>
          <w:rFonts w:asciiTheme="minorHAnsi" w:hAnsiTheme="minorHAnsi" w:cstheme="majorBidi"/>
          <w:position w:val="-6"/>
          <w:sz w:val="24"/>
          <w:szCs w:val="24"/>
        </w:rPr>
        <w:t>% des maladies circulatoires répartis en AVC ischémique</w:t>
      </w:r>
      <w:r w:rsidR="007A09AC">
        <w:rPr>
          <w:rFonts w:asciiTheme="minorHAnsi" w:hAnsiTheme="minorHAnsi" w:cstheme="majorBidi"/>
          <w:position w:val="-6"/>
          <w:sz w:val="24"/>
          <w:szCs w:val="24"/>
        </w:rPr>
        <w:t>s</w:t>
      </w:r>
      <w:r w:rsidR="008C2882">
        <w:rPr>
          <w:rFonts w:asciiTheme="minorHAnsi" w:hAnsiTheme="minorHAnsi" w:cstheme="majorBidi"/>
          <w:position w:val="-6"/>
          <w:sz w:val="24"/>
          <w:szCs w:val="24"/>
        </w:rPr>
        <w:t xml:space="preserve"> (32%), AVC hémorragique</w:t>
      </w:r>
      <w:r w:rsidR="007A09AC">
        <w:rPr>
          <w:rFonts w:asciiTheme="minorHAnsi" w:hAnsiTheme="minorHAnsi" w:cstheme="majorBidi"/>
          <w:position w:val="-6"/>
          <w:sz w:val="24"/>
          <w:szCs w:val="24"/>
        </w:rPr>
        <w:t>s</w:t>
      </w:r>
      <w:r w:rsidR="008C2882">
        <w:rPr>
          <w:rFonts w:asciiTheme="minorHAnsi" w:hAnsiTheme="minorHAnsi" w:cstheme="majorBidi"/>
          <w:position w:val="-6"/>
          <w:sz w:val="24"/>
          <w:szCs w:val="24"/>
        </w:rPr>
        <w:t xml:space="preserve"> (26.1</w:t>
      </w:r>
      <w:r w:rsidR="00D41243">
        <w:rPr>
          <w:rFonts w:asciiTheme="minorHAnsi" w:hAnsiTheme="minorHAnsi" w:cstheme="majorBidi"/>
          <w:position w:val="-6"/>
          <w:sz w:val="24"/>
          <w:szCs w:val="24"/>
        </w:rPr>
        <w:t xml:space="preserve"> </w:t>
      </w:r>
      <w:r w:rsidR="008C2882">
        <w:rPr>
          <w:rFonts w:asciiTheme="minorHAnsi" w:hAnsiTheme="minorHAnsi" w:cstheme="majorBidi"/>
          <w:position w:val="-6"/>
          <w:sz w:val="24"/>
          <w:szCs w:val="24"/>
        </w:rPr>
        <w:t xml:space="preserve">%) et AVC de nature non </w:t>
      </w:r>
      <w:r w:rsidR="00D41243">
        <w:rPr>
          <w:rFonts w:asciiTheme="minorHAnsi" w:hAnsiTheme="minorHAnsi" w:cstheme="majorBidi"/>
          <w:position w:val="-6"/>
          <w:sz w:val="24"/>
          <w:szCs w:val="24"/>
        </w:rPr>
        <w:t>déterminée (</w:t>
      </w:r>
      <w:r w:rsidR="008C2882">
        <w:rPr>
          <w:rFonts w:asciiTheme="minorHAnsi" w:hAnsiTheme="minorHAnsi" w:cstheme="majorBidi"/>
          <w:position w:val="-6"/>
          <w:sz w:val="24"/>
          <w:szCs w:val="24"/>
        </w:rPr>
        <w:t>2.</w:t>
      </w:r>
      <w:r w:rsidR="007A09AC">
        <w:rPr>
          <w:rFonts w:asciiTheme="minorHAnsi" w:hAnsiTheme="minorHAnsi" w:cstheme="majorBidi"/>
          <w:position w:val="-6"/>
          <w:sz w:val="24"/>
          <w:szCs w:val="24"/>
        </w:rPr>
        <w:t>7%</w:t>
      </w:r>
      <w:r w:rsidR="005C74E2">
        <w:rPr>
          <w:rFonts w:asciiTheme="minorHAnsi" w:hAnsiTheme="minorHAnsi" w:cstheme="majorBidi"/>
          <w:position w:val="-6"/>
          <w:sz w:val="24"/>
          <w:szCs w:val="24"/>
        </w:rPr>
        <w:t>)</w:t>
      </w:r>
      <w:r w:rsidR="007A09AC">
        <w:rPr>
          <w:rFonts w:asciiTheme="minorHAnsi" w:hAnsiTheme="minorHAnsi" w:cstheme="majorBidi"/>
          <w:position w:val="-6"/>
          <w:sz w:val="24"/>
          <w:szCs w:val="24"/>
        </w:rPr>
        <w:t xml:space="preserve">. </w:t>
      </w:r>
    </w:p>
    <w:p w:rsidR="005438D0" w:rsidRDefault="005438D0" w:rsidP="001339C0">
      <w:pPr>
        <w:ind w:right="180"/>
        <w:jc w:val="both"/>
        <w:rPr>
          <w:rFonts w:asciiTheme="minorHAnsi" w:hAnsiTheme="minorHAnsi" w:cstheme="majorBidi"/>
          <w:position w:val="-6"/>
          <w:sz w:val="24"/>
          <w:szCs w:val="24"/>
        </w:rPr>
      </w:pPr>
    </w:p>
    <w:p w:rsidR="005438D0" w:rsidRDefault="007A09AC" w:rsidP="001339C0">
      <w:pPr>
        <w:ind w:right="180"/>
        <w:jc w:val="both"/>
        <w:rPr>
          <w:rFonts w:asciiTheme="minorHAnsi" w:hAnsiTheme="minorHAnsi" w:cstheme="majorBidi"/>
          <w:position w:val="-6"/>
          <w:sz w:val="24"/>
          <w:szCs w:val="24"/>
        </w:rPr>
      </w:pPr>
      <w:r>
        <w:rPr>
          <w:rFonts w:asciiTheme="minorHAnsi" w:hAnsiTheme="minorHAnsi" w:cstheme="majorBidi"/>
          <w:position w:val="-6"/>
          <w:sz w:val="24"/>
          <w:szCs w:val="24"/>
        </w:rPr>
        <w:t xml:space="preserve">Un </w:t>
      </w:r>
      <w:r w:rsidR="005C74E2">
        <w:rPr>
          <w:rFonts w:asciiTheme="minorHAnsi" w:hAnsiTheme="minorHAnsi" w:cstheme="majorBidi"/>
          <w:position w:val="-6"/>
          <w:sz w:val="24"/>
          <w:szCs w:val="24"/>
        </w:rPr>
        <w:t>AVC</w:t>
      </w:r>
      <w:r>
        <w:rPr>
          <w:rFonts w:asciiTheme="minorHAnsi" w:hAnsiTheme="minorHAnsi" w:cstheme="majorBidi"/>
          <w:position w:val="-6"/>
          <w:sz w:val="24"/>
          <w:szCs w:val="24"/>
        </w:rPr>
        <w:t xml:space="preserve"> sur quatre a sé</w:t>
      </w:r>
      <w:r w:rsidR="005C74E2">
        <w:rPr>
          <w:rFonts w:asciiTheme="minorHAnsi" w:hAnsiTheme="minorHAnsi" w:cstheme="majorBidi"/>
          <w:position w:val="-6"/>
          <w:sz w:val="24"/>
          <w:szCs w:val="24"/>
        </w:rPr>
        <w:t>journé moins de 48 heur</w:t>
      </w:r>
      <w:r w:rsidR="003E0012">
        <w:rPr>
          <w:rFonts w:asciiTheme="minorHAnsi" w:hAnsiTheme="minorHAnsi" w:cstheme="majorBidi"/>
          <w:position w:val="-6"/>
          <w:sz w:val="24"/>
          <w:szCs w:val="24"/>
        </w:rPr>
        <w:t>e</w:t>
      </w:r>
      <w:r w:rsidR="005C74E2">
        <w:rPr>
          <w:rFonts w:asciiTheme="minorHAnsi" w:hAnsiTheme="minorHAnsi" w:cstheme="majorBidi"/>
          <w:position w:val="-6"/>
          <w:sz w:val="24"/>
          <w:szCs w:val="24"/>
        </w:rPr>
        <w:t>s</w:t>
      </w:r>
      <w:r w:rsidR="003E0012">
        <w:rPr>
          <w:rFonts w:asciiTheme="minorHAnsi" w:hAnsiTheme="minorHAnsi" w:cstheme="majorBidi"/>
          <w:position w:val="-6"/>
          <w:sz w:val="24"/>
          <w:szCs w:val="24"/>
        </w:rPr>
        <w:t xml:space="preserve"> et la médiane de la durée de séjour était de 3 </w:t>
      </w:r>
      <w:r w:rsidR="00D41243">
        <w:rPr>
          <w:rFonts w:asciiTheme="minorHAnsi" w:hAnsiTheme="minorHAnsi" w:cstheme="majorBidi"/>
          <w:position w:val="-6"/>
          <w:sz w:val="24"/>
          <w:szCs w:val="24"/>
        </w:rPr>
        <w:t>jours. L’</w:t>
      </w:r>
      <w:r w:rsidR="003E0012">
        <w:rPr>
          <w:rFonts w:asciiTheme="minorHAnsi" w:hAnsiTheme="minorHAnsi" w:cstheme="majorBidi"/>
          <w:position w:val="-6"/>
          <w:sz w:val="24"/>
          <w:szCs w:val="24"/>
        </w:rPr>
        <w:t>Age</w:t>
      </w:r>
      <w:r w:rsidR="005C74E2">
        <w:rPr>
          <w:rFonts w:asciiTheme="minorHAnsi" w:hAnsiTheme="minorHAnsi" w:cstheme="majorBidi"/>
          <w:position w:val="-6"/>
          <w:sz w:val="24"/>
          <w:szCs w:val="24"/>
        </w:rPr>
        <w:t xml:space="preserve"> moyen de décédés par AVC était 66.7+=16.9 ans.</w:t>
      </w:r>
    </w:p>
    <w:p w:rsidR="005438D0" w:rsidRDefault="005438D0" w:rsidP="001339C0">
      <w:pPr>
        <w:ind w:right="180"/>
        <w:jc w:val="both"/>
        <w:rPr>
          <w:rFonts w:asciiTheme="minorHAnsi" w:hAnsiTheme="minorHAnsi" w:cstheme="majorBidi"/>
          <w:position w:val="-6"/>
          <w:sz w:val="24"/>
          <w:szCs w:val="24"/>
        </w:rPr>
      </w:pPr>
    </w:p>
    <w:p w:rsidR="00CD21FD" w:rsidRDefault="001339C0" w:rsidP="001339C0">
      <w:pPr>
        <w:ind w:right="180"/>
        <w:jc w:val="both"/>
        <w:rPr>
          <w:rFonts w:asciiTheme="minorHAnsi" w:hAnsiTheme="minorHAnsi" w:cstheme="majorBidi"/>
          <w:color w:val="C00000"/>
          <w:position w:val="-6"/>
          <w:sz w:val="24"/>
          <w:szCs w:val="24"/>
        </w:rPr>
      </w:pPr>
      <w:r>
        <w:rPr>
          <w:rFonts w:asciiTheme="minorHAnsi" w:hAnsiTheme="minorHAnsi" w:cstheme="majorBidi"/>
          <w:position w:val="-6"/>
          <w:sz w:val="24"/>
          <w:szCs w:val="24"/>
        </w:rPr>
        <w:t xml:space="preserve"> </w:t>
      </w:r>
      <w:r w:rsidR="00CD21FD" w:rsidRPr="00CD21FD">
        <w:rPr>
          <w:rFonts w:asciiTheme="minorHAnsi" w:hAnsiTheme="minorHAnsi" w:cstheme="majorBidi"/>
          <w:color w:val="000000" w:themeColor="text1"/>
          <w:position w:val="-6"/>
          <w:sz w:val="24"/>
          <w:szCs w:val="24"/>
        </w:rPr>
        <w:t xml:space="preserve">La réduction de la mortalité liée aux AVC passe obligatoire par l’amélioration de </w:t>
      </w:r>
      <w:r w:rsidR="001D05C7">
        <w:rPr>
          <w:rFonts w:asciiTheme="minorHAnsi" w:hAnsiTheme="minorHAnsi" w:cstheme="majorBidi"/>
          <w:color w:val="000000" w:themeColor="text1"/>
          <w:position w:val="-6"/>
          <w:sz w:val="24"/>
          <w:szCs w:val="24"/>
        </w:rPr>
        <w:t xml:space="preserve">la </w:t>
      </w:r>
      <w:r w:rsidR="00CD21FD">
        <w:rPr>
          <w:rFonts w:asciiTheme="minorHAnsi" w:hAnsiTheme="minorHAnsi" w:cstheme="majorBidi"/>
          <w:color w:val="000000" w:themeColor="text1"/>
          <w:position w:val="-6"/>
          <w:sz w:val="24"/>
          <w:szCs w:val="24"/>
        </w:rPr>
        <w:t xml:space="preserve">qualité de </w:t>
      </w:r>
      <w:r w:rsidR="00CD21FD" w:rsidRPr="00CD21FD">
        <w:rPr>
          <w:rFonts w:asciiTheme="minorHAnsi" w:hAnsiTheme="minorHAnsi" w:cstheme="majorBidi"/>
          <w:color w:val="000000" w:themeColor="text1"/>
          <w:position w:val="-6"/>
          <w:sz w:val="24"/>
          <w:szCs w:val="24"/>
        </w:rPr>
        <w:t xml:space="preserve"> prise en charge des malades en unité de soins intensifs.</w:t>
      </w:r>
      <w:r>
        <w:rPr>
          <w:rFonts w:asciiTheme="minorHAnsi" w:hAnsiTheme="minorHAnsi" w:cstheme="majorBidi"/>
          <w:color w:val="000000" w:themeColor="text1"/>
          <w:position w:val="-6"/>
          <w:sz w:val="24"/>
          <w:szCs w:val="24"/>
        </w:rPr>
        <w:t xml:space="preserve"> </w:t>
      </w:r>
      <w:r w:rsidR="001D05C7">
        <w:rPr>
          <w:rFonts w:asciiTheme="minorHAnsi" w:hAnsiTheme="minorHAnsi" w:cstheme="majorBidi"/>
          <w:color w:val="000000" w:themeColor="text1"/>
          <w:position w:val="-6"/>
          <w:sz w:val="24"/>
          <w:szCs w:val="24"/>
        </w:rPr>
        <w:t xml:space="preserve"> Cette réduction n’est</w:t>
      </w:r>
      <w:r w:rsidR="005438D0">
        <w:rPr>
          <w:rFonts w:asciiTheme="minorHAnsi" w:hAnsiTheme="minorHAnsi" w:cstheme="majorBidi"/>
          <w:color w:val="000000" w:themeColor="text1"/>
          <w:position w:val="-6"/>
          <w:sz w:val="24"/>
          <w:szCs w:val="24"/>
        </w:rPr>
        <w:t xml:space="preserve"> quantifiable</w:t>
      </w:r>
      <w:r w:rsidR="001D05C7">
        <w:rPr>
          <w:rFonts w:asciiTheme="minorHAnsi" w:hAnsiTheme="minorHAnsi" w:cstheme="majorBidi"/>
          <w:color w:val="000000" w:themeColor="text1"/>
          <w:position w:val="-6"/>
          <w:sz w:val="24"/>
          <w:szCs w:val="24"/>
        </w:rPr>
        <w:t xml:space="preserve"> que </w:t>
      </w:r>
      <w:r w:rsidR="00CD21FD">
        <w:rPr>
          <w:rFonts w:asciiTheme="minorHAnsi" w:hAnsiTheme="minorHAnsi" w:cstheme="majorBidi"/>
          <w:color w:val="000000" w:themeColor="text1"/>
          <w:position w:val="-6"/>
          <w:sz w:val="24"/>
          <w:szCs w:val="24"/>
        </w:rPr>
        <w:t>par la mise en place d’un système d’information valide permettant d’e</w:t>
      </w:r>
      <w:r w:rsidR="001D05C7">
        <w:rPr>
          <w:rFonts w:asciiTheme="minorHAnsi" w:hAnsiTheme="minorHAnsi" w:cstheme="majorBidi"/>
          <w:color w:val="000000" w:themeColor="text1"/>
          <w:position w:val="-6"/>
          <w:sz w:val="24"/>
          <w:szCs w:val="24"/>
        </w:rPr>
        <w:t>n es</w:t>
      </w:r>
      <w:r w:rsidR="00CD21FD">
        <w:rPr>
          <w:rFonts w:asciiTheme="minorHAnsi" w:hAnsiTheme="minorHAnsi" w:cstheme="majorBidi"/>
          <w:color w:val="000000" w:themeColor="text1"/>
          <w:position w:val="-6"/>
          <w:sz w:val="24"/>
          <w:szCs w:val="24"/>
        </w:rPr>
        <w:t>time</w:t>
      </w:r>
      <w:r w:rsidR="001D05C7">
        <w:rPr>
          <w:rFonts w:asciiTheme="minorHAnsi" w:hAnsiTheme="minorHAnsi" w:cstheme="majorBidi"/>
          <w:color w:val="000000" w:themeColor="text1"/>
          <w:position w:val="-6"/>
          <w:sz w:val="24"/>
          <w:szCs w:val="24"/>
        </w:rPr>
        <w:t>r</w:t>
      </w:r>
      <w:r w:rsidR="00CD21FD">
        <w:rPr>
          <w:rFonts w:asciiTheme="minorHAnsi" w:hAnsiTheme="minorHAnsi" w:cstheme="majorBidi"/>
          <w:color w:val="000000" w:themeColor="text1"/>
          <w:position w:val="-6"/>
          <w:sz w:val="24"/>
          <w:szCs w:val="24"/>
        </w:rPr>
        <w:t xml:space="preserve"> le taux d’</w:t>
      </w:r>
      <w:r w:rsidR="001D05C7">
        <w:rPr>
          <w:rFonts w:asciiTheme="minorHAnsi" w:hAnsiTheme="minorHAnsi" w:cstheme="majorBidi"/>
          <w:color w:val="000000" w:themeColor="text1"/>
          <w:position w:val="-6"/>
          <w:sz w:val="24"/>
          <w:szCs w:val="24"/>
        </w:rPr>
        <w:t>incidence et le</w:t>
      </w:r>
      <w:r w:rsidR="00CD21FD">
        <w:rPr>
          <w:rFonts w:asciiTheme="minorHAnsi" w:hAnsiTheme="minorHAnsi" w:cstheme="majorBidi"/>
          <w:color w:val="000000" w:themeColor="text1"/>
          <w:position w:val="-6"/>
          <w:sz w:val="24"/>
          <w:szCs w:val="24"/>
        </w:rPr>
        <w:t xml:space="preserve"> </w:t>
      </w:r>
      <w:r w:rsidR="001D05C7">
        <w:rPr>
          <w:rFonts w:asciiTheme="minorHAnsi" w:hAnsiTheme="minorHAnsi" w:cstheme="majorBidi"/>
          <w:color w:val="000000" w:themeColor="text1"/>
          <w:position w:val="-6"/>
          <w:sz w:val="24"/>
          <w:szCs w:val="24"/>
        </w:rPr>
        <w:t xml:space="preserve">taux de </w:t>
      </w:r>
      <w:r w:rsidR="00CD21FD">
        <w:rPr>
          <w:rFonts w:asciiTheme="minorHAnsi" w:hAnsiTheme="minorHAnsi" w:cstheme="majorBidi"/>
          <w:color w:val="000000" w:themeColor="text1"/>
          <w:position w:val="-6"/>
          <w:sz w:val="24"/>
          <w:szCs w:val="24"/>
        </w:rPr>
        <w:t>mortalité</w:t>
      </w:r>
      <w:r w:rsidR="001D05C7">
        <w:rPr>
          <w:rFonts w:asciiTheme="minorHAnsi" w:hAnsiTheme="minorHAnsi" w:cstheme="majorBidi"/>
          <w:color w:val="000000" w:themeColor="text1"/>
          <w:position w:val="-6"/>
          <w:sz w:val="24"/>
          <w:szCs w:val="24"/>
        </w:rPr>
        <w:t xml:space="preserve"> de façon valide et fiable. Le SEMEP en collaboration avec le service de neurologie  </w:t>
      </w:r>
      <w:r>
        <w:rPr>
          <w:rFonts w:asciiTheme="minorHAnsi" w:hAnsiTheme="minorHAnsi" w:cstheme="majorBidi"/>
          <w:color w:val="000000" w:themeColor="text1"/>
          <w:position w:val="-6"/>
          <w:sz w:val="24"/>
          <w:szCs w:val="24"/>
        </w:rPr>
        <w:t xml:space="preserve">a mis en place un registre de population des AVC de la </w:t>
      </w:r>
      <w:r w:rsidR="00CD21FD" w:rsidRPr="00CD21FD">
        <w:rPr>
          <w:rFonts w:asciiTheme="minorHAnsi" w:hAnsiTheme="minorHAnsi" w:cstheme="majorBidi"/>
          <w:color w:val="000000" w:themeColor="text1"/>
          <w:position w:val="-6"/>
          <w:sz w:val="24"/>
          <w:szCs w:val="24"/>
        </w:rPr>
        <w:t>wilaya de Blida depuis</w:t>
      </w:r>
      <w:r w:rsidR="00C04CFA">
        <w:rPr>
          <w:rFonts w:asciiTheme="minorHAnsi" w:hAnsiTheme="minorHAnsi" w:cstheme="majorBidi"/>
          <w:color w:val="000000" w:themeColor="text1"/>
          <w:position w:val="-6"/>
          <w:sz w:val="24"/>
          <w:szCs w:val="24"/>
        </w:rPr>
        <w:t xml:space="preserve"> 2018</w:t>
      </w:r>
      <w:r>
        <w:rPr>
          <w:rFonts w:asciiTheme="minorHAnsi" w:hAnsiTheme="minorHAnsi" w:cstheme="majorBidi"/>
          <w:color w:val="000000" w:themeColor="text1"/>
          <w:position w:val="-6"/>
          <w:sz w:val="24"/>
          <w:szCs w:val="24"/>
        </w:rPr>
        <w:t xml:space="preserve">. Le premier rapport vous </w:t>
      </w:r>
      <w:r w:rsidR="00C04CFA">
        <w:rPr>
          <w:rFonts w:asciiTheme="minorHAnsi" w:hAnsiTheme="minorHAnsi" w:cstheme="majorBidi"/>
          <w:color w:val="000000" w:themeColor="text1"/>
          <w:position w:val="-6"/>
          <w:sz w:val="24"/>
          <w:szCs w:val="24"/>
        </w:rPr>
        <w:t xml:space="preserve">ferez </w:t>
      </w:r>
      <w:r>
        <w:rPr>
          <w:rFonts w:asciiTheme="minorHAnsi" w:hAnsiTheme="minorHAnsi" w:cstheme="majorBidi"/>
          <w:color w:val="000000" w:themeColor="text1"/>
          <w:position w:val="-6"/>
          <w:sz w:val="24"/>
          <w:szCs w:val="24"/>
        </w:rPr>
        <w:t>parvenir prochainement.</w:t>
      </w:r>
    </w:p>
    <w:p w:rsidR="005C74E2" w:rsidRPr="00C04CFA" w:rsidRDefault="005C74E2" w:rsidP="005C74E2">
      <w:pPr>
        <w:ind w:right="180"/>
        <w:jc w:val="both"/>
        <w:rPr>
          <w:rFonts w:asciiTheme="minorHAnsi" w:hAnsiTheme="minorHAnsi" w:cstheme="majorBidi"/>
          <w:position w:val="-6"/>
          <w:sz w:val="18"/>
          <w:szCs w:val="24"/>
        </w:rPr>
      </w:pPr>
    </w:p>
    <w:p w:rsidR="00036D26" w:rsidRPr="005B7885" w:rsidRDefault="005C74E2" w:rsidP="005C74E2">
      <w:pPr>
        <w:ind w:right="180"/>
        <w:rPr>
          <w:rFonts w:asciiTheme="minorHAnsi" w:hAnsiTheme="minorHAnsi" w:cstheme="majorBidi"/>
          <w:position w:val="-6"/>
          <w:sz w:val="14"/>
          <w:szCs w:val="14"/>
        </w:rPr>
      </w:pPr>
      <w:r>
        <w:rPr>
          <w:rFonts w:asciiTheme="minorHAnsi" w:hAnsiTheme="minorHAnsi" w:cstheme="majorBidi"/>
          <w:position w:val="-6"/>
          <w:sz w:val="24"/>
          <w:szCs w:val="24"/>
        </w:rPr>
        <w:t>L</w:t>
      </w:r>
      <w:r w:rsidR="00A35DEE" w:rsidRPr="00036D26">
        <w:rPr>
          <w:rFonts w:asciiTheme="minorHAnsi" w:hAnsiTheme="minorHAnsi" w:cstheme="majorBidi"/>
          <w:position w:val="-6"/>
          <w:sz w:val="24"/>
          <w:szCs w:val="24"/>
        </w:rPr>
        <w:t xml:space="preserve">es </w:t>
      </w:r>
      <w:r w:rsidR="00191638" w:rsidRPr="00036D26">
        <w:rPr>
          <w:rFonts w:asciiTheme="minorHAnsi" w:hAnsiTheme="minorHAnsi" w:cstheme="majorBidi"/>
          <w:position w:val="-6"/>
          <w:sz w:val="24"/>
          <w:szCs w:val="24"/>
        </w:rPr>
        <w:t>affections de la période périnatale (concernant les enfants âgés de moins de 29 jours)</w:t>
      </w:r>
      <w:r>
        <w:rPr>
          <w:rFonts w:asciiTheme="minorHAnsi" w:hAnsiTheme="minorHAnsi" w:cstheme="majorBidi"/>
          <w:position w:val="-6"/>
          <w:sz w:val="24"/>
          <w:szCs w:val="24"/>
        </w:rPr>
        <w:t xml:space="preserve"> </w:t>
      </w:r>
      <w:r w:rsidR="00D41243">
        <w:rPr>
          <w:rFonts w:asciiTheme="minorHAnsi" w:hAnsiTheme="minorHAnsi" w:cstheme="majorBidi"/>
          <w:position w:val="-6"/>
          <w:sz w:val="24"/>
          <w:szCs w:val="24"/>
        </w:rPr>
        <w:t>étaient</w:t>
      </w:r>
      <w:r>
        <w:rPr>
          <w:rFonts w:asciiTheme="minorHAnsi" w:hAnsiTheme="minorHAnsi" w:cstheme="majorBidi"/>
          <w:position w:val="-6"/>
          <w:sz w:val="24"/>
          <w:szCs w:val="24"/>
        </w:rPr>
        <w:t xml:space="preserve"> la 2</w:t>
      </w:r>
      <w:r w:rsidR="00D41243" w:rsidRPr="00D41243">
        <w:rPr>
          <w:rFonts w:asciiTheme="minorHAnsi" w:hAnsiTheme="minorHAnsi" w:cstheme="majorBidi"/>
          <w:position w:val="-6"/>
          <w:sz w:val="24"/>
          <w:szCs w:val="24"/>
          <w:vertAlign w:val="superscript"/>
        </w:rPr>
        <w:t>ème</w:t>
      </w:r>
      <w:r w:rsidR="00D41243">
        <w:rPr>
          <w:rFonts w:asciiTheme="minorHAnsi" w:hAnsiTheme="minorHAnsi" w:cstheme="majorBidi"/>
          <w:position w:val="-6"/>
          <w:sz w:val="24"/>
          <w:szCs w:val="24"/>
        </w:rPr>
        <w:t xml:space="preserve"> </w:t>
      </w:r>
      <w:r>
        <w:rPr>
          <w:rFonts w:asciiTheme="minorHAnsi" w:hAnsiTheme="minorHAnsi" w:cstheme="majorBidi"/>
          <w:position w:val="-6"/>
          <w:sz w:val="24"/>
          <w:szCs w:val="24"/>
        </w:rPr>
        <w:t xml:space="preserve"> cause mortalité hospitalière (15.5%) suivies par </w:t>
      </w:r>
      <w:r w:rsidR="003B0691" w:rsidRPr="00036D26">
        <w:rPr>
          <w:rFonts w:asciiTheme="minorHAnsi" w:hAnsiTheme="minorHAnsi" w:cstheme="majorBidi"/>
          <w:position w:val="-6"/>
          <w:sz w:val="24"/>
          <w:szCs w:val="24"/>
        </w:rPr>
        <w:t xml:space="preserve"> les </w:t>
      </w:r>
      <w:r w:rsidR="00462EFA">
        <w:rPr>
          <w:rFonts w:asciiTheme="minorHAnsi" w:hAnsiTheme="minorHAnsi" w:cstheme="majorBidi"/>
          <w:position w:val="-6"/>
          <w:sz w:val="24"/>
          <w:szCs w:val="24"/>
        </w:rPr>
        <w:t>tumeurs</w:t>
      </w:r>
      <w:r>
        <w:rPr>
          <w:rFonts w:asciiTheme="minorHAnsi" w:hAnsiTheme="minorHAnsi" w:cstheme="majorBidi"/>
          <w:position w:val="-6"/>
          <w:sz w:val="24"/>
          <w:szCs w:val="24"/>
        </w:rPr>
        <w:t xml:space="preserve"> (</w:t>
      </w:r>
      <w:r w:rsidR="003B0691" w:rsidRPr="00036D26">
        <w:rPr>
          <w:rFonts w:asciiTheme="minorHAnsi" w:hAnsiTheme="minorHAnsi" w:cstheme="majorBidi"/>
          <w:position w:val="-6"/>
          <w:sz w:val="24"/>
          <w:szCs w:val="24"/>
        </w:rPr>
        <w:t>1</w:t>
      </w:r>
      <w:r w:rsidR="00462EFA">
        <w:rPr>
          <w:rFonts w:asciiTheme="minorHAnsi" w:hAnsiTheme="minorHAnsi" w:cstheme="majorBidi"/>
          <w:position w:val="-6"/>
          <w:sz w:val="24"/>
          <w:szCs w:val="24"/>
        </w:rPr>
        <w:t>2.</w:t>
      </w:r>
      <w:r w:rsidR="00D91C56">
        <w:rPr>
          <w:rFonts w:asciiTheme="minorHAnsi" w:hAnsiTheme="minorHAnsi" w:cstheme="majorBidi"/>
          <w:position w:val="-6"/>
          <w:sz w:val="24"/>
          <w:szCs w:val="24"/>
        </w:rPr>
        <w:t>9</w:t>
      </w:r>
      <w:r w:rsidR="00573A34" w:rsidRPr="00036D26">
        <w:rPr>
          <w:rFonts w:asciiTheme="minorHAnsi" w:hAnsiTheme="minorHAnsi" w:cstheme="majorBidi"/>
          <w:position w:val="-6"/>
          <w:sz w:val="24"/>
          <w:szCs w:val="24"/>
        </w:rPr>
        <w:t>%</w:t>
      </w:r>
      <w:r>
        <w:rPr>
          <w:rFonts w:asciiTheme="minorHAnsi" w:hAnsiTheme="minorHAnsi" w:cstheme="majorBidi"/>
          <w:position w:val="-6"/>
          <w:sz w:val="24"/>
          <w:szCs w:val="24"/>
        </w:rPr>
        <w:t>) et les traumatismes (10.1%)</w:t>
      </w:r>
      <w:r w:rsidR="00573A34" w:rsidRPr="00036D26">
        <w:rPr>
          <w:rFonts w:asciiTheme="minorHAnsi" w:hAnsiTheme="minorHAnsi" w:cstheme="majorBidi"/>
          <w:position w:val="-6"/>
          <w:sz w:val="24"/>
          <w:szCs w:val="24"/>
        </w:rPr>
        <w:t>.</w:t>
      </w:r>
      <w:r w:rsidR="00710815" w:rsidRPr="00036D26">
        <w:rPr>
          <w:rFonts w:asciiTheme="minorHAnsi" w:hAnsiTheme="minorHAnsi" w:cstheme="majorBidi"/>
          <w:position w:val="-6"/>
          <w:sz w:val="24"/>
          <w:szCs w:val="24"/>
        </w:rPr>
        <w:br/>
      </w:r>
    </w:p>
    <w:p w:rsidR="00573A34" w:rsidRPr="00036D26" w:rsidRDefault="00710815" w:rsidP="00EA77CD">
      <w:pPr>
        <w:ind w:right="180"/>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L</w:t>
      </w:r>
      <w:r w:rsidR="00573A34" w:rsidRPr="00036D26">
        <w:rPr>
          <w:rFonts w:asciiTheme="minorHAnsi" w:hAnsiTheme="minorHAnsi" w:cstheme="majorBidi"/>
          <w:position w:val="-6"/>
          <w:sz w:val="24"/>
          <w:szCs w:val="24"/>
        </w:rPr>
        <w:t xml:space="preserve">a </w:t>
      </w:r>
      <w:r w:rsidR="00064276" w:rsidRPr="00036D26">
        <w:rPr>
          <w:rFonts w:asciiTheme="minorHAnsi" w:hAnsiTheme="minorHAnsi" w:cstheme="majorBidi"/>
          <w:position w:val="-6"/>
          <w:sz w:val="24"/>
          <w:szCs w:val="24"/>
        </w:rPr>
        <w:t xml:space="preserve">moyenne de la </w:t>
      </w:r>
      <w:r w:rsidR="00573A34" w:rsidRPr="00036D26">
        <w:rPr>
          <w:rFonts w:asciiTheme="minorHAnsi" w:hAnsiTheme="minorHAnsi" w:cstheme="majorBidi"/>
          <w:position w:val="-6"/>
          <w:sz w:val="24"/>
          <w:szCs w:val="24"/>
        </w:rPr>
        <w:t>durée de séjour</w:t>
      </w:r>
      <w:r w:rsidR="000F6F19" w:rsidRPr="00036D26">
        <w:rPr>
          <w:rFonts w:asciiTheme="minorHAnsi" w:hAnsiTheme="minorHAnsi" w:cstheme="majorBidi"/>
          <w:position w:val="-6"/>
          <w:sz w:val="24"/>
          <w:szCs w:val="24"/>
        </w:rPr>
        <w:t xml:space="preserve"> était </w:t>
      </w:r>
      <w:r w:rsidR="00976236" w:rsidRPr="00036D26">
        <w:rPr>
          <w:rFonts w:asciiTheme="minorHAnsi" w:hAnsiTheme="minorHAnsi" w:cstheme="majorBidi"/>
          <w:position w:val="-6"/>
          <w:sz w:val="24"/>
          <w:szCs w:val="24"/>
        </w:rPr>
        <w:t xml:space="preserve">plus </w:t>
      </w:r>
      <w:r w:rsidR="0033246A">
        <w:rPr>
          <w:rFonts w:asciiTheme="minorHAnsi" w:hAnsiTheme="minorHAnsi" w:cstheme="majorBidi"/>
          <w:position w:val="-6"/>
          <w:sz w:val="24"/>
          <w:szCs w:val="24"/>
        </w:rPr>
        <w:t xml:space="preserve">longue </w:t>
      </w:r>
      <w:r w:rsidRPr="00036D26">
        <w:rPr>
          <w:rFonts w:asciiTheme="minorHAnsi" w:hAnsiTheme="minorHAnsi" w:cstheme="majorBidi"/>
          <w:position w:val="-6"/>
          <w:sz w:val="24"/>
          <w:szCs w:val="24"/>
        </w:rPr>
        <w:t xml:space="preserve">pour les </w:t>
      </w:r>
      <w:r w:rsidR="00F378B0">
        <w:rPr>
          <w:rFonts w:asciiTheme="minorHAnsi" w:hAnsiTheme="minorHAnsi" w:cstheme="majorBidi"/>
          <w:position w:val="-6"/>
          <w:sz w:val="24"/>
          <w:szCs w:val="24"/>
        </w:rPr>
        <w:t xml:space="preserve">maladies du </w:t>
      </w:r>
      <w:r w:rsidR="00D41243">
        <w:rPr>
          <w:rFonts w:asciiTheme="minorHAnsi" w:hAnsiTheme="minorHAnsi" w:cstheme="majorBidi"/>
          <w:position w:val="-6"/>
          <w:sz w:val="24"/>
          <w:szCs w:val="24"/>
        </w:rPr>
        <w:t>sang (</w:t>
      </w:r>
      <w:r w:rsidR="00F378B0">
        <w:rPr>
          <w:rFonts w:asciiTheme="minorHAnsi" w:hAnsiTheme="minorHAnsi" w:cstheme="majorBidi"/>
          <w:position w:val="-6"/>
          <w:sz w:val="24"/>
          <w:szCs w:val="24"/>
        </w:rPr>
        <w:t>13.6</w:t>
      </w:r>
      <w:r w:rsidR="00F378B0" w:rsidRPr="00036D26">
        <w:rPr>
          <w:rFonts w:asciiTheme="minorHAnsi" w:hAnsiTheme="minorHAnsi" w:cstheme="majorBidi"/>
          <w:position w:val="-6"/>
          <w:sz w:val="24"/>
          <w:szCs w:val="24"/>
        </w:rPr>
        <w:t xml:space="preserve">± </w:t>
      </w:r>
      <w:r w:rsidR="00F378B0">
        <w:rPr>
          <w:rFonts w:asciiTheme="minorHAnsi" w:hAnsiTheme="minorHAnsi" w:cstheme="majorBidi"/>
          <w:position w:val="-6"/>
          <w:sz w:val="24"/>
          <w:szCs w:val="24"/>
        </w:rPr>
        <w:t xml:space="preserve">17) suivie par les pathologies tumorales </w:t>
      </w:r>
      <w:r w:rsidR="00430F13" w:rsidRPr="00036D26">
        <w:rPr>
          <w:rFonts w:asciiTheme="minorHAnsi" w:hAnsiTheme="minorHAnsi" w:cstheme="majorBidi"/>
          <w:position w:val="-6"/>
          <w:sz w:val="24"/>
          <w:szCs w:val="24"/>
        </w:rPr>
        <w:t>(</w:t>
      </w:r>
      <w:r w:rsidR="00462EFA">
        <w:rPr>
          <w:rFonts w:asciiTheme="minorHAnsi" w:hAnsiTheme="minorHAnsi" w:cstheme="majorBidi"/>
          <w:position w:val="-6"/>
          <w:sz w:val="24"/>
          <w:szCs w:val="24"/>
        </w:rPr>
        <w:t>1</w:t>
      </w:r>
      <w:r w:rsidR="00D91C56">
        <w:rPr>
          <w:rFonts w:asciiTheme="minorHAnsi" w:hAnsiTheme="minorHAnsi" w:cstheme="majorBidi"/>
          <w:position w:val="-6"/>
          <w:sz w:val="24"/>
          <w:szCs w:val="24"/>
        </w:rPr>
        <w:t>1.3</w:t>
      </w:r>
      <w:r w:rsidR="000233C8" w:rsidRPr="00036D26">
        <w:rPr>
          <w:rFonts w:asciiTheme="minorHAnsi" w:hAnsiTheme="minorHAnsi" w:cstheme="majorBidi"/>
          <w:position w:val="-6"/>
          <w:sz w:val="24"/>
          <w:szCs w:val="24"/>
        </w:rPr>
        <w:t>±</w:t>
      </w:r>
      <w:r w:rsidR="00F378B0">
        <w:rPr>
          <w:rFonts w:asciiTheme="minorHAnsi" w:hAnsiTheme="minorHAnsi" w:cstheme="majorBidi"/>
          <w:position w:val="-6"/>
          <w:sz w:val="24"/>
          <w:szCs w:val="24"/>
        </w:rPr>
        <w:t>21.5</w:t>
      </w:r>
      <w:r w:rsidR="00F249F5" w:rsidRPr="00036D26">
        <w:rPr>
          <w:rFonts w:asciiTheme="minorHAnsi" w:hAnsiTheme="minorHAnsi" w:cstheme="majorBidi"/>
          <w:position w:val="-6"/>
          <w:sz w:val="24"/>
          <w:szCs w:val="24"/>
        </w:rPr>
        <w:t>jours)</w:t>
      </w:r>
      <w:r w:rsidR="0033246A">
        <w:rPr>
          <w:rFonts w:asciiTheme="minorHAnsi" w:hAnsiTheme="minorHAnsi" w:cstheme="majorBidi"/>
          <w:position w:val="-6"/>
          <w:sz w:val="24"/>
          <w:szCs w:val="24"/>
        </w:rPr>
        <w:t>. E</w:t>
      </w:r>
      <w:r w:rsidR="00462EFA">
        <w:rPr>
          <w:rFonts w:asciiTheme="minorHAnsi" w:hAnsiTheme="minorHAnsi" w:cstheme="majorBidi"/>
          <w:position w:val="-6"/>
          <w:sz w:val="24"/>
          <w:szCs w:val="24"/>
        </w:rPr>
        <w:t xml:space="preserve">lle </w:t>
      </w:r>
      <w:r w:rsidR="0033246A">
        <w:rPr>
          <w:rFonts w:asciiTheme="minorHAnsi" w:hAnsiTheme="minorHAnsi" w:cstheme="majorBidi"/>
          <w:position w:val="-6"/>
          <w:sz w:val="24"/>
          <w:szCs w:val="24"/>
        </w:rPr>
        <w:t>était</w:t>
      </w:r>
      <w:r w:rsidR="00462EFA">
        <w:rPr>
          <w:rFonts w:asciiTheme="minorHAnsi" w:hAnsiTheme="minorHAnsi" w:cstheme="majorBidi"/>
          <w:position w:val="-6"/>
          <w:sz w:val="24"/>
          <w:szCs w:val="24"/>
        </w:rPr>
        <w:t xml:space="preserve"> la plus courte pour les</w:t>
      </w:r>
      <w:r w:rsidR="0094715C">
        <w:rPr>
          <w:rFonts w:asciiTheme="minorHAnsi" w:hAnsiTheme="minorHAnsi" w:cstheme="majorBidi"/>
          <w:position w:val="-6"/>
          <w:sz w:val="24"/>
          <w:szCs w:val="24"/>
        </w:rPr>
        <w:t xml:space="preserve"> maladies du système osté</w:t>
      </w:r>
      <w:r w:rsidR="00F378B0">
        <w:rPr>
          <w:rFonts w:asciiTheme="minorHAnsi" w:hAnsiTheme="minorHAnsi" w:cstheme="majorBidi"/>
          <w:position w:val="-6"/>
          <w:sz w:val="24"/>
          <w:szCs w:val="24"/>
        </w:rPr>
        <w:t>o</w:t>
      </w:r>
      <w:r w:rsidR="005C74E2">
        <w:rPr>
          <w:rFonts w:asciiTheme="minorHAnsi" w:hAnsiTheme="minorHAnsi" w:cstheme="majorBidi"/>
          <w:position w:val="-6"/>
          <w:sz w:val="24"/>
          <w:szCs w:val="24"/>
        </w:rPr>
        <w:t>-</w:t>
      </w:r>
      <w:r w:rsidR="00F378B0">
        <w:rPr>
          <w:rFonts w:asciiTheme="minorHAnsi" w:hAnsiTheme="minorHAnsi" w:cstheme="majorBidi"/>
          <w:position w:val="-6"/>
          <w:sz w:val="24"/>
          <w:szCs w:val="24"/>
        </w:rPr>
        <w:t>articulaire</w:t>
      </w:r>
      <w:r w:rsidR="0094715C">
        <w:rPr>
          <w:rFonts w:asciiTheme="minorHAnsi" w:hAnsiTheme="minorHAnsi" w:cstheme="majorBidi"/>
          <w:position w:val="-6"/>
          <w:sz w:val="24"/>
          <w:szCs w:val="24"/>
        </w:rPr>
        <w:t xml:space="preserve"> </w:t>
      </w:r>
      <w:r w:rsidR="003378A0" w:rsidRPr="00036D26">
        <w:rPr>
          <w:rFonts w:asciiTheme="minorHAnsi" w:hAnsiTheme="minorHAnsi" w:cstheme="majorBidi"/>
          <w:position w:val="-6"/>
          <w:sz w:val="24"/>
          <w:szCs w:val="24"/>
        </w:rPr>
        <w:t>(</w:t>
      </w:r>
      <w:r w:rsidR="00F378B0">
        <w:rPr>
          <w:rFonts w:asciiTheme="minorHAnsi" w:hAnsiTheme="minorHAnsi" w:cstheme="majorBidi"/>
          <w:position w:val="-6"/>
          <w:sz w:val="24"/>
          <w:szCs w:val="24"/>
        </w:rPr>
        <w:t>2.3</w:t>
      </w:r>
      <w:r w:rsidR="00F2266B" w:rsidRPr="00036D26">
        <w:rPr>
          <w:rFonts w:asciiTheme="minorHAnsi" w:hAnsiTheme="minorHAnsi" w:cstheme="majorBidi"/>
          <w:position w:val="-6"/>
          <w:sz w:val="24"/>
          <w:szCs w:val="24"/>
        </w:rPr>
        <w:t>±</w:t>
      </w:r>
      <w:r w:rsidR="00F378B0">
        <w:rPr>
          <w:rFonts w:asciiTheme="minorHAnsi" w:hAnsiTheme="minorHAnsi" w:cstheme="majorBidi"/>
          <w:position w:val="-6"/>
          <w:sz w:val="24"/>
          <w:szCs w:val="24"/>
        </w:rPr>
        <w:t>2.6</w:t>
      </w:r>
      <w:r w:rsidR="00270CD1">
        <w:rPr>
          <w:rFonts w:asciiTheme="minorHAnsi" w:hAnsiTheme="minorHAnsi" w:cstheme="majorBidi"/>
          <w:position w:val="-6"/>
          <w:sz w:val="24"/>
          <w:szCs w:val="24"/>
        </w:rPr>
        <w:t xml:space="preserve"> jours</w:t>
      </w:r>
      <w:r w:rsidR="00F2266B" w:rsidRPr="00036D26">
        <w:rPr>
          <w:rFonts w:asciiTheme="minorHAnsi" w:hAnsiTheme="minorHAnsi" w:cstheme="majorBidi"/>
          <w:position w:val="-6"/>
          <w:sz w:val="24"/>
          <w:szCs w:val="24"/>
        </w:rPr>
        <w:t>)</w:t>
      </w:r>
      <w:r w:rsidR="003378A0" w:rsidRPr="00036D26">
        <w:rPr>
          <w:rFonts w:asciiTheme="minorHAnsi" w:hAnsiTheme="minorHAnsi" w:cstheme="majorBidi"/>
          <w:position w:val="-6"/>
          <w:sz w:val="24"/>
          <w:szCs w:val="24"/>
        </w:rPr>
        <w:t>.</w:t>
      </w:r>
      <w:r w:rsidR="0094715C">
        <w:rPr>
          <w:rFonts w:asciiTheme="minorHAnsi" w:hAnsiTheme="minorHAnsi" w:cstheme="majorBidi"/>
          <w:position w:val="-6"/>
          <w:sz w:val="24"/>
          <w:szCs w:val="24"/>
        </w:rPr>
        <w:t xml:space="preserve"> </w:t>
      </w:r>
      <w:r w:rsidR="003B35D3" w:rsidRPr="0094715C">
        <w:rPr>
          <w:rFonts w:asciiTheme="minorHAnsi" w:hAnsiTheme="minorHAnsi" w:cstheme="majorBidi"/>
          <w:position w:val="-6"/>
          <w:sz w:val="24"/>
          <w:szCs w:val="24"/>
        </w:rPr>
        <w:t>(</w:t>
      </w:r>
      <w:r w:rsidR="003378A0" w:rsidRPr="0094715C">
        <w:rPr>
          <w:rFonts w:asciiTheme="minorHAnsi" w:hAnsiTheme="minorHAnsi" w:cstheme="majorBidi"/>
          <w:position w:val="-6"/>
          <w:sz w:val="24"/>
          <w:szCs w:val="24"/>
        </w:rPr>
        <w:t>Tableau</w:t>
      </w:r>
      <w:r w:rsidR="00FF6D83" w:rsidRPr="0094715C">
        <w:rPr>
          <w:rFonts w:asciiTheme="minorHAnsi" w:hAnsiTheme="minorHAnsi" w:cstheme="majorBidi"/>
          <w:position w:val="-6"/>
          <w:sz w:val="24"/>
          <w:szCs w:val="24"/>
        </w:rPr>
        <w:t xml:space="preserve"> 3).</w:t>
      </w:r>
    </w:p>
    <w:p w:rsidR="00786FA2" w:rsidRDefault="00786FA2" w:rsidP="0016783D">
      <w:pPr>
        <w:pStyle w:val="Corpsdetexte21"/>
        <w:rPr>
          <w:rFonts w:asciiTheme="minorHAnsi" w:hAnsiTheme="minorHAnsi" w:cstheme="majorBidi"/>
          <w:position w:val="-6"/>
          <w:sz w:val="24"/>
          <w:szCs w:val="24"/>
          <w:u w:val="single"/>
        </w:rPr>
      </w:pPr>
    </w:p>
    <w:p w:rsidR="00786FA2" w:rsidRDefault="00786FA2" w:rsidP="0016783D">
      <w:pPr>
        <w:pStyle w:val="Corpsdetexte21"/>
        <w:rPr>
          <w:rFonts w:asciiTheme="minorHAnsi" w:hAnsiTheme="minorHAnsi" w:cstheme="majorBidi"/>
          <w:position w:val="-6"/>
          <w:sz w:val="24"/>
          <w:szCs w:val="24"/>
          <w:u w:val="single"/>
        </w:rPr>
      </w:pPr>
    </w:p>
    <w:p w:rsidR="00573A34" w:rsidRPr="00036D26" w:rsidRDefault="00757018" w:rsidP="0016783D">
      <w:pPr>
        <w:pStyle w:val="Corpsdetexte21"/>
        <w:rPr>
          <w:rFonts w:asciiTheme="minorHAnsi" w:hAnsiTheme="minorHAnsi" w:cstheme="majorBidi"/>
          <w:i/>
          <w:iCs/>
          <w:position w:val="-6"/>
          <w:sz w:val="24"/>
          <w:szCs w:val="24"/>
        </w:rPr>
      </w:pPr>
      <w:r w:rsidRPr="005B7885">
        <w:rPr>
          <w:rFonts w:asciiTheme="minorHAnsi" w:hAnsiTheme="minorHAnsi" w:cstheme="majorBidi"/>
          <w:position w:val="-6"/>
          <w:sz w:val="24"/>
          <w:szCs w:val="24"/>
          <w:u w:val="single"/>
        </w:rPr>
        <w:t>Tableau 3.</w:t>
      </w:r>
      <w:r w:rsidRPr="005B7885">
        <w:rPr>
          <w:rFonts w:asciiTheme="minorHAnsi" w:hAnsiTheme="minorHAnsi" w:cstheme="majorBidi"/>
          <w:position w:val="-6"/>
          <w:sz w:val="24"/>
          <w:szCs w:val="24"/>
        </w:rPr>
        <w:t xml:space="preserve"> Répartition des </w:t>
      </w:r>
      <w:r w:rsidR="00BB7AE4" w:rsidRPr="005B7885">
        <w:rPr>
          <w:rFonts w:asciiTheme="minorHAnsi" w:hAnsiTheme="minorHAnsi" w:cstheme="majorBidi"/>
          <w:position w:val="-6"/>
          <w:sz w:val="24"/>
          <w:szCs w:val="24"/>
        </w:rPr>
        <w:t>1</w:t>
      </w:r>
      <w:r w:rsidR="0016783D">
        <w:rPr>
          <w:rFonts w:asciiTheme="minorHAnsi" w:hAnsiTheme="minorHAnsi" w:cstheme="majorBidi"/>
          <w:position w:val="-6"/>
          <w:sz w:val="24"/>
          <w:szCs w:val="24"/>
        </w:rPr>
        <w:t>633</w:t>
      </w:r>
      <w:r w:rsidR="00E56062" w:rsidRPr="005B7885">
        <w:rPr>
          <w:rFonts w:asciiTheme="minorHAnsi" w:hAnsiTheme="minorHAnsi" w:cstheme="majorBidi"/>
          <w:position w:val="-6"/>
          <w:sz w:val="24"/>
          <w:szCs w:val="24"/>
        </w:rPr>
        <w:t xml:space="preserve"> décès</w:t>
      </w:r>
      <w:r w:rsidR="00573A34" w:rsidRPr="005B7885">
        <w:rPr>
          <w:rFonts w:asciiTheme="minorHAnsi" w:hAnsiTheme="minorHAnsi" w:cstheme="majorBidi"/>
          <w:position w:val="-6"/>
          <w:sz w:val="24"/>
          <w:szCs w:val="24"/>
        </w:rPr>
        <w:t xml:space="preserve"> survenus au CHU de Blida </w:t>
      </w:r>
      <w:r w:rsidR="0033246A" w:rsidRPr="005B7885">
        <w:rPr>
          <w:rFonts w:asciiTheme="minorHAnsi" w:hAnsiTheme="minorHAnsi" w:cstheme="majorBidi"/>
          <w:position w:val="-6"/>
          <w:sz w:val="24"/>
          <w:szCs w:val="24"/>
        </w:rPr>
        <w:t xml:space="preserve">selon la durée de séjour en fonction du diagnostic </w:t>
      </w:r>
      <w:r w:rsidR="00DC20BA" w:rsidRPr="005B7885">
        <w:rPr>
          <w:rFonts w:asciiTheme="minorHAnsi" w:hAnsiTheme="minorHAnsi" w:cstheme="majorBidi"/>
          <w:position w:val="-6"/>
          <w:sz w:val="24"/>
          <w:szCs w:val="24"/>
        </w:rPr>
        <w:t>(année 201</w:t>
      </w:r>
      <w:r w:rsidR="0016783D">
        <w:rPr>
          <w:rFonts w:asciiTheme="minorHAnsi" w:hAnsiTheme="minorHAnsi" w:cstheme="majorBidi"/>
          <w:position w:val="-6"/>
          <w:sz w:val="24"/>
          <w:szCs w:val="24"/>
        </w:rPr>
        <w:t>8</w:t>
      </w:r>
      <w:r w:rsidR="00573A34" w:rsidRPr="00036D26">
        <w:rPr>
          <w:rFonts w:asciiTheme="minorHAnsi" w:hAnsiTheme="minorHAnsi" w:cstheme="majorBidi"/>
          <w:i/>
          <w:iCs/>
          <w:position w:val="-6"/>
          <w:sz w:val="24"/>
          <w:szCs w:val="24"/>
        </w:rPr>
        <w:t>)</w:t>
      </w:r>
    </w:p>
    <w:p w:rsidR="007857D7" w:rsidRPr="00036D26" w:rsidRDefault="007857D7" w:rsidP="00D50053">
      <w:pPr>
        <w:pStyle w:val="Corpsdetexte21"/>
        <w:rPr>
          <w:rFonts w:asciiTheme="minorHAnsi" w:hAnsiTheme="minorHAnsi" w:cstheme="majorBidi"/>
          <w:i/>
          <w:iCs/>
          <w:position w:val="-6"/>
          <w:sz w:val="24"/>
          <w:szCs w:val="24"/>
        </w:rPr>
      </w:pPr>
    </w:p>
    <w:tbl>
      <w:tblPr>
        <w:tblStyle w:val="Listemoyenne2-Accent1"/>
        <w:tblW w:w="4269" w:type="pct"/>
        <w:tblLook w:val="04A0"/>
      </w:tblPr>
      <w:tblGrid>
        <w:gridCol w:w="2532"/>
        <w:gridCol w:w="904"/>
        <w:gridCol w:w="937"/>
        <w:gridCol w:w="904"/>
        <w:gridCol w:w="940"/>
        <w:gridCol w:w="1128"/>
        <w:gridCol w:w="827"/>
      </w:tblGrid>
      <w:tr w:rsidR="0016783D" w:rsidRPr="00F378B0" w:rsidTr="0016783D">
        <w:trPr>
          <w:cnfStyle w:val="100000000000"/>
          <w:trHeight w:val="315"/>
        </w:trPr>
        <w:tc>
          <w:tcPr>
            <w:cnfStyle w:val="001000000100"/>
            <w:tcW w:w="1549" w:type="pct"/>
            <w:vMerge w:val="restart"/>
            <w:tcBorders>
              <w:top w:val="outset" w:sz="6" w:space="0" w:color="548DD4" w:themeColor="text2" w:themeTint="99"/>
              <w:left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rPr>
                <w:rFonts w:asciiTheme="minorHAnsi" w:hAnsiTheme="minorHAnsi"/>
                <w:position w:val="-6"/>
              </w:rPr>
            </w:pPr>
            <w:r w:rsidRPr="00F378B0">
              <w:rPr>
                <w:rFonts w:asciiTheme="minorHAnsi" w:hAnsiTheme="minorHAnsi"/>
                <w:position w:val="-6"/>
              </w:rPr>
              <w:t>Groupe de diagnostic</w:t>
            </w:r>
          </w:p>
        </w:tc>
        <w:tc>
          <w:tcPr>
            <w:tcW w:w="1126" w:type="pct"/>
            <w:gridSpan w:val="2"/>
            <w:tcBorders>
              <w:top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cnfStyle w:val="100000000000"/>
              <w:rPr>
                <w:rFonts w:asciiTheme="minorHAnsi" w:hAnsiTheme="minorHAnsi"/>
                <w:i/>
                <w:iCs/>
                <w:position w:val="-6"/>
              </w:rPr>
            </w:pPr>
            <w:r w:rsidRPr="00F378B0">
              <w:rPr>
                <w:rFonts w:asciiTheme="minorHAnsi" w:hAnsiTheme="minorHAnsi"/>
                <w:i/>
                <w:iCs/>
                <w:position w:val="-6"/>
              </w:rPr>
              <w:t>Décès</w:t>
            </w:r>
          </w:p>
        </w:tc>
        <w:tc>
          <w:tcPr>
            <w:tcW w:w="1128" w:type="pct"/>
            <w:gridSpan w:val="2"/>
            <w:tcBorders>
              <w:top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cnfStyle w:val="100000000000"/>
              <w:rPr>
                <w:rFonts w:asciiTheme="minorHAnsi" w:hAnsiTheme="minorHAnsi"/>
                <w:i/>
                <w:iCs/>
                <w:position w:val="-6"/>
              </w:rPr>
            </w:pPr>
            <w:r w:rsidRPr="00F378B0">
              <w:rPr>
                <w:rFonts w:asciiTheme="minorHAnsi" w:hAnsiTheme="minorHAnsi"/>
                <w:i/>
                <w:iCs/>
                <w:position w:val="-6"/>
              </w:rPr>
              <w:t>Journées consommés</w:t>
            </w:r>
          </w:p>
        </w:tc>
        <w:tc>
          <w:tcPr>
            <w:tcW w:w="1196" w:type="pct"/>
            <w:gridSpan w:val="2"/>
            <w:tcBorders>
              <w:top w:val="outset" w:sz="6" w:space="0" w:color="548DD4" w:themeColor="text2" w:themeTint="99"/>
              <w:bottom w:val="outset" w:sz="6" w:space="0" w:color="548DD4" w:themeColor="text2" w:themeTint="99"/>
              <w:right w:val="inset" w:sz="6" w:space="0" w:color="548DD4" w:themeColor="text2" w:themeTint="99"/>
            </w:tcBorders>
            <w:hideMark/>
          </w:tcPr>
          <w:p w:rsidR="0016783D" w:rsidRPr="00F378B0" w:rsidRDefault="0016783D" w:rsidP="00DF4550">
            <w:pPr>
              <w:overflowPunct/>
              <w:autoSpaceDE/>
              <w:autoSpaceDN/>
              <w:adjustRightInd/>
              <w:jc w:val="center"/>
              <w:textAlignment w:val="auto"/>
              <w:cnfStyle w:val="100000000000"/>
              <w:rPr>
                <w:rFonts w:asciiTheme="minorHAnsi" w:hAnsiTheme="minorHAnsi"/>
                <w:i/>
                <w:iCs/>
                <w:position w:val="-6"/>
              </w:rPr>
            </w:pPr>
            <w:r w:rsidRPr="00F378B0">
              <w:rPr>
                <w:rFonts w:asciiTheme="minorHAnsi" w:hAnsiTheme="minorHAnsi"/>
                <w:i/>
                <w:iCs/>
                <w:position w:val="-6"/>
              </w:rPr>
              <w:t>Durée de séjour</w:t>
            </w:r>
          </w:p>
        </w:tc>
      </w:tr>
      <w:tr w:rsidR="0016783D" w:rsidRPr="00F378B0" w:rsidTr="0016783D">
        <w:trPr>
          <w:cnfStyle w:val="000000100000"/>
          <w:trHeight w:val="315"/>
        </w:trPr>
        <w:tc>
          <w:tcPr>
            <w:cnfStyle w:val="001000000000"/>
            <w:tcW w:w="1549" w:type="pct"/>
            <w:vMerge/>
            <w:tcBorders>
              <w:top w:val="outset" w:sz="6" w:space="0" w:color="548DD4" w:themeColor="text2" w:themeTint="99"/>
              <w:left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rPr>
                <w:rFonts w:asciiTheme="minorHAnsi" w:hAnsiTheme="minorHAnsi"/>
                <w:position w:val="-6"/>
                <w:sz w:val="24"/>
                <w:szCs w:val="24"/>
              </w:rPr>
            </w:pPr>
          </w:p>
        </w:tc>
        <w:tc>
          <w:tcPr>
            <w:tcW w:w="553" w:type="pct"/>
            <w:tcBorders>
              <w:top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cnfStyle w:val="000000100000"/>
              <w:rPr>
                <w:rFonts w:asciiTheme="minorHAnsi" w:hAnsiTheme="minorHAnsi"/>
                <w:i/>
                <w:iCs/>
                <w:position w:val="-6"/>
                <w:sz w:val="24"/>
                <w:szCs w:val="24"/>
              </w:rPr>
            </w:pPr>
            <w:r w:rsidRPr="00F378B0">
              <w:rPr>
                <w:rFonts w:asciiTheme="minorHAnsi" w:hAnsiTheme="minorHAnsi"/>
                <w:i/>
                <w:iCs/>
                <w:position w:val="-6"/>
                <w:sz w:val="24"/>
                <w:szCs w:val="24"/>
              </w:rPr>
              <w:t>Effectif</w:t>
            </w:r>
          </w:p>
        </w:tc>
        <w:tc>
          <w:tcPr>
            <w:tcW w:w="573" w:type="pct"/>
            <w:tcBorders>
              <w:top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cnfStyle w:val="000000100000"/>
              <w:rPr>
                <w:rFonts w:asciiTheme="minorHAnsi" w:hAnsiTheme="minorHAnsi"/>
                <w:i/>
                <w:iCs/>
                <w:position w:val="-6"/>
                <w:sz w:val="24"/>
                <w:szCs w:val="24"/>
              </w:rPr>
            </w:pPr>
            <w:r w:rsidRPr="00F378B0">
              <w:rPr>
                <w:rFonts w:asciiTheme="minorHAnsi" w:hAnsiTheme="minorHAnsi"/>
                <w:i/>
                <w:iCs/>
                <w:position w:val="-6"/>
                <w:sz w:val="24"/>
                <w:szCs w:val="24"/>
              </w:rPr>
              <w:t>%</w:t>
            </w:r>
          </w:p>
        </w:tc>
        <w:tc>
          <w:tcPr>
            <w:tcW w:w="553" w:type="pct"/>
            <w:tcBorders>
              <w:top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cnfStyle w:val="000000100000"/>
              <w:rPr>
                <w:rFonts w:asciiTheme="minorHAnsi" w:hAnsiTheme="minorHAnsi"/>
                <w:i/>
                <w:iCs/>
                <w:position w:val="-6"/>
                <w:sz w:val="24"/>
                <w:szCs w:val="24"/>
              </w:rPr>
            </w:pPr>
            <w:r w:rsidRPr="00F378B0">
              <w:rPr>
                <w:rFonts w:asciiTheme="minorHAnsi" w:hAnsiTheme="minorHAnsi"/>
                <w:i/>
                <w:iCs/>
                <w:position w:val="-6"/>
                <w:sz w:val="24"/>
                <w:szCs w:val="24"/>
              </w:rPr>
              <w:t>Effectif</w:t>
            </w:r>
          </w:p>
        </w:tc>
        <w:tc>
          <w:tcPr>
            <w:tcW w:w="575" w:type="pct"/>
            <w:tcBorders>
              <w:top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cnfStyle w:val="000000100000"/>
              <w:rPr>
                <w:rFonts w:asciiTheme="minorHAnsi" w:hAnsiTheme="minorHAnsi"/>
                <w:i/>
                <w:iCs/>
                <w:position w:val="-6"/>
                <w:sz w:val="24"/>
                <w:szCs w:val="24"/>
              </w:rPr>
            </w:pPr>
            <w:r w:rsidRPr="00F378B0">
              <w:rPr>
                <w:rFonts w:asciiTheme="minorHAnsi" w:hAnsiTheme="minorHAnsi"/>
                <w:i/>
                <w:iCs/>
                <w:position w:val="-6"/>
                <w:sz w:val="24"/>
                <w:szCs w:val="24"/>
              </w:rPr>
              <w:t>%</w:t>
            </w:r>
          </w:p>
        </w:tc>
        <w:tc>
          <w:tcPr>
            <w:tcW w:w="690" w:type="pct"/>
            <w:tcBorders>
              <w:top w:val="outset" w:sz="6" w:space="0" w:color="548DD4" w:themeColor="text2" w:themeTint="99"/>
              <w:bottom w:val="outset" w:sz="6" w:space="0" w:color="548DD4" w:themeColor="text2" w:themeTint="99"/>
            </w:tcBorders>
            <w:hideMark/>
          </w:tcPr>
          <w:p w:rsidR="0016783D" w:rsidRPr="00F378B0" w:rsidRDefault="0016783D" w:rsidP="00DF4550">
            <w:pPr>
              <w:overflowPunct/>
              <w:autoSpaceDE/>
              <w:autoSpaceDN/>
              <w:adjustRightInd/>
              <w:jc w:val="center"/>
              <w:textAlignment w:val="auto"/>
              <w:cnfStyle w:val="000000100000"/>
              <w:rPr>
                <w:rFonts w:asciiTheme="minorHAnsi" w:hAnsiTheme="minorHAnsi"/>
                <w:i/>
                <w:iCs/>
                <w:position w:val="-6"/>
                <w:sz w:val="24"/>
                <w:szCs w:val="24"/>
              </w:rPr>
            </w:pPr>
            <w:r w:rsidRPr="00F378B0">
              <w:rPr>
                <w:rFonts w:asciiTheme="minorHAnsi" w:hAnsiTheme="minorHAnsi"/>
                <w:i/>
                <w:iCs/>
                <w:position w:val="-6"/>
                <w:sz w:val="24"/>
                <w:szCs w:val="24"/>
              </w:rPr>
              <w:t>Moyenne</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hideMark/>
          </w:tcPr>
          <w:p w:rsidR="0016783D" w:rsidRPr="00F378B0" w:rsidRDefault="0016783D" w:rsidP="00DF4550">
            <w:pPr>
              <w:overflowPunct/>
              <w:autoSpaceDE/>
              <w:autoSpaceDN/>
              <w:adjustRightInd/>
              <w:jc w:val="center"/>
              <w:textAlignment w:val="auto"/>
              <w:cnfStyle w:val="000000100000"/>
              <w:rPr>
                <w:rFonts w:asciiTheme="minorHAnsi" w:hAnsiTheme="minorHAnsi"/>
                <w:i/>
                <w:iCs/>
                <w:position w:val="-6"/>
                <w:sz w:val="24"/>
                <w:szCs w:val="24"/>
              </w:rPr>
            </w:pPr>
            <w:r w:rsidRPr="00F378B0">
              <w:rPr>
                <w:rFonts w:asciiTheme="minorHAnsi" w:hAnsiTheme="minorHAnsi"/>
                <w:i/>
                <w:iCs/>
                <w:position w:val="-6"/>
                <w:sz w:val="24"/>
                <w:szCs w:val="24"/>
              </w:rPr>
              <w:t>Ecart type</w:t>
            </w:r>
          </w:p>
        </w:tc>
      </w:tr>
      <w:tr w:rsidR="0016783D" w:rsidRPr="00F378B0" w:rsidTr="0016783D">
        <w:trPr>
          <w:trHeight w:val="315"/>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EA77CD">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Maladies</w:t>
            </w:r>
            <w:r w:rsidR="00EA77CD">
              <w:rPr>
                <w:rFonts w:asciiTheme="minorHAnsi" w:hAnsiTheme="minorHAnsi" w:cs="Arial"/>
                <w:color w:val="000000"/>
                <w:sz w:val="24"/>
                <w:szCs w:val="24"/>
              </w:rPr>
              <w:t xml:space="preserve"> de l’</w:t>
            </w:r>
            <w:r w:rsidRPr="008F6B0F">
              <w:rPr>
                <w:rFonts w:asciiTheme="minorHAnsi" w:hAnsiTheme="minorHAnsi" w:cs="Arial"/>
                <w:color w:val="000000"/>
                <w:sz w:val="24"/>
                <w:szCs w:val="24"/>
              </w:rPr>
              <w:t>appareil circulatoire</w:t>
            </w:r>
          </w:p>
        </w:tc>
        <w:tc>
          <w:tcPr>
            <w:tcW w:w="553" w:type="pct"/>
            <w:tcBorders>
              <w:top w:val="outset" w:sz="6" w:space="0" w:color="548DD4" w:themeColor="text2" w:themeTint="99"/>
              <w:bottom w:val="outset" w:sz="6" w:space="0" w:color="548DD4" w:themeColor="text2" w:themeTint="99"/>
            </w:tcBorders>
          </w:tcPr>
          <w:p w:rsidR="0016783D" w:rsidRPr="008F6B0F" w:rsidRDefault="00B34AAC" w:rsidP="003B562C">
            <w:pPr>
              <w:spacing w:line="320" w:lineRule="atLeast"/>
              <w:ind w:left="60" w:right="60"/>
              <w:jc w:val="right"/>
              <w:cnfStyle w:val="000000000000"/>
              <w:rPr>
                <w:rFonts w:asciiTheme="minorHAnsi" w:hAnsiTheme="minorHAnsi" w:cs="Arial"/>
                <w:color w:val="000000"/>
                <w:sz w:val="24"/>
                <w:szCs w:val="24"/>
              </w:rPr>
            </w:pPr>
            <w:r>
              <w:rPr>
                <w:rFonts w:asciiTheme="minorHAnsi" w:hAnsiTheme="minorHAnsi" w:cs="Arial"/>
                <w:color w:val="000000"/>
                <w:sz w:val="24"/>
                <w:szCs w:val="24"/>
              </w:rPr>
              <w:t>475</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B34AA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29,</w:t>
            </w:r>
            <w:r w:rsidR="00B34AAC">
              <w:rPr>
                <w:rFonts w:asciiTheme="minorHAnsi" w:hAnsiTheme="minorHAnsi" w:cs="Arial"/>
                <w:color w:val="000000"/>
                <w:sz w:val="24"/>
                <w:szCs w:val="24"/>
              </w:rPr>
              <w:t>1</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B34AA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244</w:t>
            </w:r>
            <w:r w:rsidR="00B34AAC">
              <w:rPr>
                <w:rFonts w:asciiTheme="minorHAnsi" w:hAnsiTheme="minorHAnsi" w:cs="Arial"/>
                <w:color w:val="000000"/>
                <w:sz w:val="24"/>
                <w:szCs w:val="24"/>
              </w:rPr>
              <w:t>2</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B34AA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24,</w:t>
            </w:r>
            <w:r w:rsidR="00B34AAC">
              <w:rPr>
                <w:rFonts w:asciiTheme="minorHAnsi" w:hAnsiTheme="minorHAnsi" w:cs="Arial"/>
                <w:color w:val="000000"/>
                <w:sz w:val="24"/>
                <w:szCs w:val="24"/>
              </w:rPr>
              <w:t>6</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5,1</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9.6</w:t>
            </w:r>
          </w:p>
        </w:tc>
      </w:tr>
      <w:tr w:rsidR="0016783D" w:rsidRPr="00F378B0" w:rsidTr="0016783D">
        <w:trPr>
          <w:cnfStyle w:val="000000100000"/>
          <w:trHeight w:val="315"/>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Affections périnatales</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253</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15,5</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780</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7,8</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3,1</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4.4</w:t>
            </w:r>
          </w:p>
        </w:tc>
      </w:tr>
      <w:tr w:rsidR="0016783D" w:rsidRPr="00F378B0" w:rsidTr="0016783D">
        <w:trPr>
          <w:trHeight w:val="315"/>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F378B0">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 xml:space="preserve">Tumeurs </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211</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12,9</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2383</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24,0</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11,3</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21.5</w:t>
            </w:r>
          </w:p>
        </w:tc>
      </w:tr>
      <w:tr w:rsidR="0016783D" w:rsidRPr="00F378B0" w:rsidTr="0016783D">
        <w:trPr>
          <w:cnfStyle w:val="000000100000"/>
          <w:trHeight w:val="420"/>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F378B0">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 xml:space="preserve">Traumatismes </w:t>
            </w:r>
            <w:r w:rsidR="00EA77CD">
              <w:rPr>
                <w:rFonts w:asciiTheme="minorHAnsi" w:hAnsiTheme="minorHAnsi" w:cs="Arial"/>
                <w:color w:val="000000"/>
                <w:sz w:val="24"/>
                <w:szCs w:val="24"/>
              </w:rPr>
              <w:t xml:space="preserve">et </w:t>
            </w:r>
            <w:r w:rsidRPr="008F6B0F">
              <w:rPr>
                <w:rFonts w:asciiTheme="minorHAnsi" w:hAnsiTheme="minorHAnsi" w:cs="Arial"/>
                <w:color w:val="000000"/>
                <w:sz w:val="24"/>
                <w:szCs w:val="24"/>
              </w:rPr>
              <w:t xml:space="preserve">empoisonnements </w:t>
            </w:r>
          </w:p>
        </w:tc>
        <w:tc>
          <w:tcPr>
            <w:tcW w:w="553" w:type="pct"/>
            <w:tcBorders>
              <w:top w:val="outset" w:sz="6" w:space="0" w:color="548DD4" w:themeColor="text2" w:themeTint="99"/>
              <w:bottom w:val="outset" w:sz="6" w:space="0" w:color="548DD4" w:themeColor="text2" w:themeTint="99"/>
            </w:tcBorders>
          </w:tcPr>
          <w:p w:rsidR="0016783D" w:rsidRPr="008F6B0F" w:rsidRDefault="00B34AAC" w:rsidP="003B562C">
            <w:pPr>
              <w:spacing w:line="320" w:lineRule="atLeast"/>
              <w:ind w:left="60" w:right="60"/>
              <w:jc w:val="right"/>
              <w:cnfStyle w:val="000000100000"/>
              <w:rPr>
                <w:rFonts w:asciiTheme="minorHAnsi" w:hAnsiTheme="minorHAnsi" w:cs="Arial"/>
                <w:color w:val="000000"/>
                <w:sz w:val="24"/>
                <w:szCs w:val="24"/>
              </w:rPr>
            </w:pPr>
            <w:r>
              <w:rPr>
                <w:rFonts w:asciiTheme="minorHAnsi" w:hAnsiTheme="minorHAnsi" w:cs="Arial"/>
                <w:color w:val="000000"/>
                <w:sz w:val="24"/>
                <w:szCs w:val="24"/>
              </w:rPr>
              <w:t>165</w:t>
            </w:r>
          </w:p>
        </w:tc>
        <w:tc>
          <w:tcPr>
            <w:tcW w:w="573" w:type="pct"/>
            <w:tcBorders>
              <w:top w:val="outset" w:sz="6" w:space="0" w:color="548DD4" w:themeColor="text2" w:themeTint="99"/>
              <w:bottom w:val="outset" w:sz="6" w:space="0" w:color="548DD4" w:themeColor="text2" w:themeTint="99"/>
            </w:tcBorders>
          </w:tcPr>
          <w:p w:rsidR="0016783D" w:rsidRPr="008F6B0F" w:rsidRDefault="00B34AAC" w:rsidP="003B562C">
            <w:pPr>
              <w:spacing w:line="320" w:lineRule="atLeast"/>
              <w:ind w:left="60" w:right="60"/>
              <w:jc w:val="right"/>
              <w:cnfStyle w:val="000000100000"/>
              <w:rPr>
                <w:rFonts w:asciiTheme="minorHAnsi" w:hAnsiTheme="minorHAnsi" w:cs="Arial"/>
                <w:color w:val="000000"/>
                <w:sz w:val="24"/>
                <w:szCs w:val="24"/>
              </w:rPr>
            </w:pPr>
            <w:r>
              <w:rPr>
                <w:rFonts w:asciiTheme="minorHAnsi" w:hAnsiTheme="minorHAnsi" w:cs="Arial"/>
                <w:color w:val="000000"/>
                <w:sz w:val="24"/>
                <w:szCs w:val="24"/>
              </w:rPr>
              <w:t>10,1</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B34AA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104</w:t>
            </w:r>
            <w:r w:rsidR="00B34AAC">
              <w:rPr>
                <w:rFonts w:asciiTheme="minorHAnsi" w:hAnsiTheme="minorHAnsi" w:cs="Arial"/>
                <w:color w:val="000000"/>
                <w:sz w:val="24"/>
                <w:szCs w:val="24"/>
              </w:rPr>
              <w:t>1</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10,5</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6,3</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10.9</w:t>
            </w:r>
          </w:p>
        </w:tc>
      </w:tr>
      <w:tr w:rsidR="0016783D" w:rsidRPr="00F378B0" w:rsidTr="0016783D">
        <w:trPr>
          <w:trHeight w:val="390"/>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EA77CD">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Maladies</w:t>
            </w:r>
            <w:r w:rsidR="00EA77CD">
              <w:rPr>
                <w:rFonts w:asciiTheme="minorHAnsi" w:hAnsiTheme="minorHAnsi" w:cs="Arial"/>
                <w:color w:val="000000"/>
                <w:sz w:val="24"/>
                <w:szCs w:val="24"/>
              </w:rPr>
              <w:t xml:space="preserve"> de l’</w:t>
            </w:r>
            <w:r w:rsidRPr="008F6B0F">
              <w:rPr>
                <w:rFonts w:asciiTheme="minorHAnsi" w:hAnsiTheme="minorHAnsi" w:cs="Arial"/>
                <w:color w:val="000000"/>
                <w:sz w:val="24"/>
                <w:szCs w:val="24"/>
              </w:rPr>
              <w:t>appareil digestif</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103</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6,3</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677</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6,8</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6,6</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8.7</w:t>
            </w:r>
          </w:p>
        </w:tc>
      </w:tr>
      <w:tr w:rsidR="0016783D" w:rsidRPr="00F378B0" w:rsidTr="0016783D">
        <w:trPr>
          <w:cnfStyle w:val="000000100000"/>
          <w:trHeight w:val="390"/>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EA77CD">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Maladies</w:t>
            </w:r>
            <w:r w:rsidR="00EA77CD">
              <w:rPr>
                <w:rFonts w:asciiTheme="minorHAnsi" w:hAnsiTheme="minorHAnsi" w:cs="Arial"/>
                <w:color w:val="000000"/>
                <w:sz w:val="24"/>
                <w:szCs w:val="24"/>
              </w:rPr>
              <w:t xml:space="preserve"> de l’</w:t>
            </w:r>
            <w:r w:rsidRPr="008F6B0F">
              <w:rPr>
                <w:rFonts w:asciiTheme="minorHAnsi" w:hAnsiTheme="minorHAnsi" w:cs="Arial"/>
                <w:color w:val="000000"/>
                <w:sz w:val="24"/>
                <w:szCs w:val="24"/>
              </w:rPr>
              <w:t>appareil respiratoire</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100</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6,1</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575</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5,8</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5,8</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9.1</w:t>
            </w:r>
          </w:p>
        </w:tc>
      </w:tr>
      <w:tr w:rsidR="0016783D" w:rsidRPr="00F378B0" w:rsidTr="0016783D">
        <w:trPr>
          <w:trHeight w:val="405"/>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Symptômes</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91</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5,6</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350</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3,5</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3,8</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9.1</w:t>
            </w:r>
          </w:p>
        </w:tc>
      </w:tr>
      <w:tr w:rsidR="0016783D" w:rsidRPr="00F378B0" w:rsidTr="0016783D">
        <w:trPr>
          <w:cnfStyle w:val="000000100000"/>
          <w:trHeight w:val="420"/>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Anomalies congénitales</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78</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4,8</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645</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6,5</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8,3</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16.2</w:t>
            </w:r>
          </w:p>
        </w:tc>
      </w:tr>
      <w:tr w:rsidR="0016783D" w:rsidRPr="00F378B0" w:rsidTr="0016783D">
        <w:trPr>
          <w:trHeight w:val="405"/>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Maladies endocriniennes</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46</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2,8</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155</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1,6</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3,4</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5.2</w:t>
            </w:r>
          </w:p>
        </w:tc>
      </w:tr>
      <w:tr w:rsidR="0016783D" w:rsidRPr="00F378B0" w:rsidTr="0016783D">
        <w:trPr>
          <w:cnfStyle w:val="000000100000"/>
          <w:trHeight w:val="405"/>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Maladies</w:t>
            </w:r>
            <w:r w:rsidR="00EA77CD">
              <w:rPr>
                <w:rFonts w:asciiTheme="minorHAnsi" w:hAnsiTheme="minorHAnsi" w:cs="Arial"/>
                <w:color w:val="000000"/>
                <w:sz w:val="24"/>
                <w:szCs w:val="24"/>
              </w:rPr>
              <w:t xml:space="preserve"> du</w:t>
            </w:r>
            <w:r w:rsidRPr="008F6B0F">
              <w:rPr>
                <w:rFonts w:asciiTheme="minorHAnsi" w:hAnsiTheme="minorHAnsi" w:cs="Arial"/>
                <w:color w:val="000000"/>
                <w:sz w:val="24"/>
                <w:szCs w:val="24"/>
              </w:rPr>
              <w:t xml:space="preserve"> système nerveux</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45</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2,8</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381</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3,8</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8,5</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10.8</w:t>
            </w:r>
          </w:p>
        </w:tc>
      </w:tr>
      <w:tr w:rsidR="0016783D" w:rsidRPr="00F378B0" w:rsidTr="0016783D">
        <w:trPr>
          <w:trHeight w:val="510"/>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Maladies génito-urinaires</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24</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1,5</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119</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1,2</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5,0</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6.2</w:t>
            </w:r>
          </w:p>
        </w:tc>
      </w:tr>
      <w:tr w:rsidR="0016783D" w:rsidRPr="00F378B0" w:rsidTr="0016783D">
        <w:trPr>
          <w:cnfStyle w:val="000000100000"/>
          <w:trHeight w:val="465"/>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F378B0">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 xml:space="preserve">Maladies infectieuses et parasitaires </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17</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158</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1,6</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9,3</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15.1</w:t>
            </w:r>
          </w:p>
        </w:tc>
      </w:tr>
      <w:tr w:rsidR="0016783D" w:rsidRPr="00F378B0" w:rsidTr="0016783D">
        <w:trPr>
          <w:trHeight w:val="480"/>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F378B0">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 xml:space="preserve">Maladies du sang </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13</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0,8</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177</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1,8</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13,6</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17.0</w:t>
            </w:r>
          </w:p>
        </w:tc>
      </w:tr>
      <w:tr w:rsidR="0016783D" w:rsidRPr="00F378B0" w:rsidTr="0016783D">
        <w:trPr>
          <w:cnfStyle w:val="000000100000"/>
          <w:trHeight w:val="405"/>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Grossesse et accouchement</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8</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0,5</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53</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0,5</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6,6</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9.7</w:t>
            </w:r>
          </w:p>
        </w:tc>
      </w:tr>
      <w:tr w:rsidR="0016783D" w:rsidRPr="00F378B0" w:rsidTr="0016783D">
        <w:trPr>
          <w:trHeight w:val="360"/>
        </w:trPr>
        <w:tc>
          <w:tcPr>
            <w:cnfStyle w:val="001000000000"/>
            <w:tcW w:w="1549" w:type="pct"/>
            <w:tcBorders>
              <w:top w:val="outset" w:sz="6" w:space="0" w:color="548DD4" w:themeColor="text2" w:themeTint="99"/>
              <w:left w:val="outset" w:sz="6" w:space="0" w:color="548DD4" w:themeColor="text2" w:themeTint="99"/>
              <w:bottom w:val="outset" w:sz="6" w:space="0" w:color="548DD4" w:themeColor="text2" w:themeTint="99"/>
            </w:tcBorders>
          </w:tcPr>
          <w:p w:rsidR="0016783D" w:rsidRPr="008F6B0F" w:rsidRDefault="0016783D" w:rsidP="00EA77CD">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Maladie</w:t>
            </w:r>
            <w:r w:rsidR="00EA77CD">
              <w:rPr>
                <w:rFonts w:asciiTheme="minorHAnsi" w:hAnsiTheme="minorHAnsi" w:cs="Arial"/>
                <w:color w:val="000000"/>
                <w:sz w:val="24"/>
                <w:szCs w:val="24"/>
              </w:rPr>
              <w:t>s</w:t>
            </w:r>
            <w:r w:rsidRPr="008F6B0F">
              <w:rPr>
                <w:rFonts w:asciiTheme="minorHAnsi" w:hAnsiTheme="minorHAnsi" w:cs="Arial"/>
                <w:color w:val="000000"/>
                <w:sz w:val="24"/>
                <w:szCs w:val="24"/>
              </w:rPr>
              <w:t xml:space="preserve"> d</w:t>
            </w:r>
            <w:r w:rsidR="00EA77CD">
              <w:rPr>
                <w:rFonts w:asciiTheme="minorHAnsi" w:hAnsiTheme="minorHAnsi" w:cs="Arial"/>
                <w:color w:val="000000"/>
                <w:sz w:val="24"/>
                <w:szCs w:val="24"/>
              </w:rPr>
              <w:t>u</w:t>
            </w:r>
            <w:r w:rsidRPr="008F6B0F">
              <w:rPr>
                <w:rFonts w:asciiTheme="minorHAnsi" w:hAnsiTheme="minorHAnsi" w:cs="Arial"/>
                <w:color w:val="000000"/>
                <w:sz w:val="24"/>
                <w:szCs w:val="24"/>
              </w:rPr>
              <w:t xml:space="preserve"> système ostéo-articulaire</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4</w:t>
            </w:r>
          </w:p>
        </w:tc>
        <w:tc>
          <w:tcPr>
            <w:tcW w:w="57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0,2</w:t>
            </w:r>
          </w:p>
        </w:tc>
        <w:tc>
          <w:tcPr>
            <w:tcW w:w="553"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9</w:t>
            </w:r>
          </w:p>
        </w:tc>
        <w:tc>
          <w:tcPr>
            <w:tcW w:w="575"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0,1</w:t>
            </w:r>
          </w:p>
        </w:tc>
        <w:tc>
          <w:tcPr>
            <w:tcW w:w="690" w:type="pct"/>
            <w:tcBorders>
              <w:top w:val="outset" w:sz="6" w:space="0" w:color="548DD4" w:themeColor="text2" w:themeTint="99"/>
              <w:bottom w:val="out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2,3</w:t>
            </w:r>
          </w:p>
        </w:tc>
        <w:tc>
          <w:tcPr>
            <w:tcW w:w="506" w:type="pct"/>
            <w:tcBorders>
              <w:top w:val="outset" w:sz="6" w:space="0" w:color="548DD4" w:themeColor="text2" w:themeTint="99"/>
              <w:bottom w:val="outset" w:sz="6" w:space="0" w:color="548DD4" w:themeColor="text2" w:themeTint="99"/>
              <w:right w:val="inset" w:sz="6" w:space="0" w:color="548DD4" w:themeColor="text2" w:themeTint="99"/>
            </w:tcBorders>
          </w:tcPr>
          <w:p w:rsidR="0016783D" w:rsidRPr="008F6B0F" w:rsidRDefault="0016783D" w:rsidP="003B562C">
            <w:pPr>
              <w:spacing w:line="320" w:lineRule="atLeast"/>
              <w:ind w:left="60" w:right="60"/>
              <w:jc w:val="right"/>
              <w:cnfStyle w:val="000000000000"/>
              <w:rPr>
                <w:rFonts w:asciiTheme="minorHAnsi" w:hAnsiTheme="minorHAnsi" w:cs="Arial"/>
                <w:color w:val="000000"/>
                <w:sz w:val="24"/>
                <w:szCs w:val="24"/>
              </w:rPr>
            </w:pPr>
            <w:r w:rsidRPr="008F6B0F">
              <w:rPr>
                <w:rFonts w:asciiTheme="minorHAnsi" w:hAnsiTheme="minorHAnsi" w:cs="Arial"/>
                <w:color w:val="000000"/>
                <w:sz w:val="24"/>
                <w:szCs w:val="24"/>
              </w:rPr>
              <w:t>2.6</w:t>
            </w:r>
          </w:p>
        </w:tc>
      </w:tr>
      <w:tr w:rsidR="0016783D" w:rsidRPr="00F378B0" w:rsidTr="0016783D">
        <w:trPr>
          <w:cnfStyle w:val="000000100000"/>
          <w:trHeight w:val="315"/>
        </w:trPr>
        <w:tc>
          <w:tcPr>
            <w:cnfStyle w:val="001000000000"/>
            <w:tcW w:w="1549" w:type="pct"/>
            <w:tcBorders>
              <w:top w:val="outset" w:sz="6" w:space="0" w:color="548DD4" w:themeColor="text2" w:themeTint="99"/>
              <w:left w:val="outset" w:sz="6" w:space="0" w:color="548DD4" w:themeColor="text2" w:themeTint="99"/>
              <w:bottom w:val="inset" w:sz="6" w:space="0" w:color="548DD4" w:themeColor="text2" w:themeTint="99"/>
            </w:tcBorders>
            <w:shd w:val="clear" w:color="auto" w:fill="D9D9D9" w:themeFill="background1" w:themeFillShade="D9"/>
          </w:tcPr>
          <w:p w:rsidR="0016783D" w:rsidRPr="008F6B0F" w:rsidRDefault="0016783D" w:rsidP="003B562C">
            <w:pPr>
              <w:spacing w:line="320" w:lineRule="atLeast"/>
              <w:ind w:left="60" w:right="60"/>
              <w:rPr>
                <w:rFonts w:asciiTheme="minorHAnsi" w:hAnsiTheme="minorHAnsi" w:cs="Arial"/>
                <w:color w:val="000000"/>
                <w:sz w:val="24"/>
                <w:szCs w:val="24"/>
              </w:rPr>
            </w:pPr>
            <w:r w:rsidRPr="008F6B0F">
              <w:rPr>
                <w:rFonts w:asciiTheme="minorHAnsi" w:hAnsiTheme="minorHAnsi" w:cs="Arial"/>
                <w:color w:val="000000"/>
                <w:sz w:val="24"/>
                <w:szCs w:val="24"/>
              </w:rPr>
              <w:t>Total</w:t>
            </w:r>
          </w:p>
        </w:tc>
        <w:tc>
          <w:tcPr>
            <w:tcW w:w="553" w:type="pct"/>
            <w:tcBorders>
              <w:top w:val="outset" w:sz="6" w:space="0" w:color="548DD4" w:themeColor="text2" w:themeTint="99"/>
              <w:bottom w:val="inset" w:sz="6" w:space="0" w:color="548DD4" w:themeColor="text2" w:themeTint="99"/>
            </w:tcBorders>
            <w:shd w:val="clear" w:color="auto" w:fill="D9D9D9" w:themeFill="background1" w:themeFillShade="D9"/>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1633</w:t>
            </w:r>
          </w:p>
        </w:tc>
        <w:tc>
          <w:tcPr>
            <w:tcW w:w="573" w:type="pct"/>
            <w:tcBorders>
              <w:top w:val="outset" w:sz="6" w:space="0" w:color="548DD4" w:themeColor="text2" w:themeTint="99"/>
              <w:bottom w:val="inset" w:sz="6" w:space="0" w:color="548DD4" w:themeColor="text2" w:themeTint="99"/>
            </w:tcBorders>
            <w:shd w:val="clear" w:color="auto" w:fill="D9D9D9" w:themeFill="background1" w:themeFillShade="D9"/>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100,0</w:t>
            </w:r>
          </w:p>
        </w:tc>
        <w:tc>
          <w:tcPr>
            <w:tcW w:w="553" w:type="pct"/>
            <w:tcBorders>
              <w:top w:val="outset" w:sz="6" w:space="0" w:color="548DD4" w:themeColor="text2" w:themeTint="99"/>
              <w:bottom w:val="inset" w:sz="6" w:space="0" w:color="548DD4" w:themeColor="text2" w:themeTint="99"/>
            </w:tcBorders>
            <w:shd w:val="clear" w:color="auto" w:fill="D9D9D9" w:themeFill="background1" w:themeFillShade="D9"/>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9945</w:t>
            </w:r>
          </w:p>
        </w:tc>
        <w:tc>
          <w:tcPr>
            <w:tcW w:w="575" w:type="pct"/>
            <w:tcBorders>
              <w:top w:val="outset" w:sz="6" w:space="0" w:color="548DD4" w:themeColor="text2" w:themeTint="99"/>
              <w:bottom w:val="inset" w:sz="6" w:space="0" w:color="548DD4" w:themeColor="text2" w:themeTint="99"/>
            </w:tcBorders>
            <w:shd w:val="clear" w:color="auto" w:fill="D9D9D9" w:themeFill="background1" w:themeFillShade="D9"/>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100,0</w:t>
            </w:r>
          </w:p>
        </w:tc>
        <w:tc>
          <w:tcPr>
            <w:tcW w:w="690" w:type="pct"/>
            <w:tcBorders>
              <w:top w:val="outset" w:sz="6" w:space="0" w:color="548DD4" w:themeColor="text2" w:themeTint="99"/>
              <w:bottom w:val="inset" w:sz="6" w:space="0" w:color="548DD4" w:themeColor="text2" w:themeTint="99"/>
            </w:tcBorders>
            <w:shd w:val="clear" w:color="auto" w:fill="D9D9D9" w:themeFill="background1" w:themeFillShade="D9"/>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6,1</w:t>
            </w:r>
          </w:p>
        </w:tc>
        <w:tc>
          <w:tcPr>
            <w:tcW w:w="506" w:type="pct"/>
            <w:tcBorders>
              <w:top w:val="outset" w:sz="6" w:space="0" w:color="548DD4" w:themeColor="text2" w:themeTint="99"/>
              <w:bottom w:val="inset" w:sz="6" w:space="0" w:color="548DD4" w:themeColor="text2" w:themeTint="99"/>
              <w:right w:val="inset" w:sz="6" w:space="0" w:color="548DD4" w:themeColor="text2" w:themeTint="99"/>
            </w:tcBorders>
            <w:shd w:val="clear" w:color="auto" w:fill="D9D9D9" w:themeFill="background1" w:themeFillShade="D9"/>
          </w:tcPr>
          <w:p w:rsidR="0016783D" w:rsidRPr="008F6B0F" w:rsidRDefault="0016783D" w:rsidP="003B562C">
            <w:pPr>
              <w:spacing w:line="320" w:lineRule="atLeast"/>
              <w:ind w:left="60" w:right="60"/>
              <w:jc w:val="right"/>
              <w:cnfStyle w:val="000000100000"/>
              <w:rPr>
                <w:rFonts w:asciiTheme="minorHAnsi" w:hAnsiTheme="minorHAnsi" w:cs="Arial"/>
                <w:color w:val="000000"/>
                <w:sz w:val="24"/>
                <w:szCs w:val="24"/>
              </w:rPr>
            </w:pPr>
            <w:r w:rsidRPr="008F6B0F">
              <w:rPr>
                <w:rFonts w:asciiTheme="minorHAnsi" w:hAnsiTheme="minorHAnsi" w:cs="Arial"/>
                <w:color w:val="000000"/>
                <w:sz w:val="24"/>
                <w:szCs w:val="24"/>
              </w:rPr>
              <w:t>12.0</w:t>
            </w:r>
          </w:p>
        </w:tc>
      </w:tr>
    </w:tbl>
    <w:p w:rsidR="00C37668" w:rsidRPr="00036D26" w:rsidRDefault="00C37668" w:rsidP="00901FEF">
      <w:pPr>
        <w:ind w:right="180"/>
        <w:jc w:val="both"/>
        <w:rPr>
          <w:rFonts w:asciiTheme="minorHAnsi" w:hAnsiTheme="minorHAnsi" w:cstheme="majorBidi"/>
          <w:position w:val="-6"/>
          <w:sz w:val="24"/>
          <w:szCs w:val="24"/>
        </w:rPr>
      </w:pPr>
    </w:p>
    <w:p w:rsidR="007857D7" w:rsidRDefault="007857D7" w:rsidP="00CE1129">
      <w:pPr>
        <w:ind w:right="180"/>
        <w:jc w:val="both"/>
        <w:rPr>
          <w:rFonts w:asciiTheme="minorHAnsi" w:hAnsiTheme="minorHAnsi" w:cstheme="majorBidi"/>
          <w:position w:val="-6"/>
          <w:sz w:val="24"/>
          <w:szCs w:val="24"/>
        </w:rPr>
      </w:pPr>
    </w:p>
    <w:p w:rsidR="00ED27FE" w:rsidRDefault="00ED27FE" w:rsidP="00CE1129">
      <w:pPr>
        <w:ind w:right="180"/>
        <w:jc w:val="both"/>
        <w:rPr>
          <w:rFonts w:asciiTheme="minorHAnsi" w:hAnsiTheme="minorHAnsi" w:cstheme="majorBidi"/>
          <w:position w:val="-6"/>
          <w:sz w:val="24"/>
          <w:szCs w:val="24"/>
        </w:rPr>
      </w:pPr>
    </w:p>
    <w:p w:rsidR="00D41243" w:rsidRDefault="00D41243" w:rsidP="00CE1129">
      <w:pPr>
        <w:ind w:right="180"/>
        <w:jc w:val="both"/>
        <w:rPr>
          <w:rFonts w:asciiTheme="minorHAnsi" w:hAnsiTheme="minorHAnsi" w:cstheme="majorBidi"/>
          <w:position w:val="-6"/>
          <w:sz w:val="24"/>
          <w:szCs w:val="24"/>
        </w:rPr>
      </w:pPr>
    </w:p>
    <w:p w:rsidR="00D41243" w:rsidRDefault="00D41243" w:rsidP="00CE1129">
      <w:pPr>
        <w:ind w:right="180"/>
        <w:jc w:val="both"/>
        <w:rPr>
          <w:rFonts w:asciiTheme="minorHAnsi" w:hAnsiTheme="minorHAnsi" w:cstheme="majorBidi"/>
          <w:position w:val="-6"/>
          <w:sz w:val="24"/>
          <w:szCs w:val="24"/>
        </w:rPr>
      </w:pPr>
    </w:p>
    <w:p w:rsidR="00D41243" w:rsidRDefault="00D41243" w:rsidP="00CE1129">
      <w:pPr>
        <w:ind w:right="180"/>
        <w:jc w:val="both"/>
        <w:rPr>
          <w:rFonts w:asciiTheme="minorHAnsi" w:hAnsiTheme="minorHAnsi" w:cstheme="majorBidi"/>
          <w:position w:val="-6"/>
          <w:sz w:val="24"/>
          <w:szCs w:val="24"/>
        </w:rPr>
      </w:pPr>
    </w:p>
    <w:p w:rsidR="00D41243" w:rsidRDefault="00D41243" w:rsidP="00CE1129">
      <w:pPr>
        <w:ind w:right="180"/>
        <w:jc w:val="both"/>
        <w:rPr>
          <w:rFonts w:asciiTheme="minorHAnsi" w:hAnsiTheme="minorHAnsi" w:cstheme="majorBidi"/>
          <w:position w:val="-6"/>
          <w:sz w:val="24"/>
          <w:szCs w:val="24"/>
        </w:rPr>
      </w:pPr>
    </w:p>
    <w:p w:rsidR="00D41243" w:rsidRDefault="00D41243" w:rsidP="00CE1129">
      <w:pPr>
        <w:ind w:right="180"/>
        <w:jc w:val="both"/>
        <w:rPr>
          <w:rFonts w:asciiTheme="minorHAnsi" w:hAnsiTheme="minorHAnsi" w:cstheme="majorBidi"/>
          <w:position w:val="-6"/>
          <w:sz w:val="24"/>
          <w:szCs w:val="24"/>
        </w:rPr>
      </w:pPr>
    </w:p>
    <w:p w:rsidR="00D41243" w:rsidRDefault="00D41243" w:rsidP="00CE1129">
      <w:pPr>
        <w:ind w:right="180"/>
        <w:jc w:val="both"/>
        <w:rPr>
          <w:rFonts w:asciiTheme="minorHAnsi" w:hAnsiTheme="minorHAnsi" w:cstheme="majorBidi"/>
          <w:position w:val="-6"/>
          <w:sz w:val="24"/>
          <w:szCs w:val="24"/>
        </w:rPr>
      </w:pPr>
    </w:p>
    <w:p w:rsidR="00EE3FBD" w:rsidRPr="00036D26" w:rsidRDefault="00174AA9" w:rsidP="00864C9D">
      <w:pPr>
        <w:tabs>
          <w:tab w:val="left" w:pos="426"/>
        </w:tabs>
        <w:ind w:right="180"/>
        <w:jc w:val="both"/>
        <w:rPr>
          <w:rFonts w:asciiTheme="minorHAnsi" w:hAnsiTheme="minorHAnsi" w:cstheme="majorBidi"/>
          <w:position w:val="-6"/>
          <w:sz w:val="24"/>
          <w:szCs w:val="24"/>
        </w:rPr>
      </w:pPr>
      <w:r>
        <w:rPr>
          <w:rFonts w:asciiTheme="minorHAnsi" w:hAnsiTheme="minorHAnsi" w:cstheme="majorBidi"/>
          <w:position w:val="-6"/>
          <w:sz w:val="24"/>
          <w:szCs w:val="24"/>
        </w:rPr>
        <w:t>C</w:t>
      </w:r>
      <w:r w:rsidRPr="00036D26">
        <w:rPr>
          <w:rFonts w:asciiTheme="minorHAnsi" w:hAnsiTheme="minorHAnsi" w:cstheme="majorBidi"/>
          <w:position w:val="-6"/>
          <w:sz w:val="24"/>
          <w:szCs w:val="24"/>
        </w:rPr>
        <w:t xml:space="preserve">hez les sujets de moins de 25 </w:t>
      </w:r>
      <w:r w:rsidR="00D41243" w:rsidRPr="00036D26">
        <w:rPr>
          <w:rFonts w:asciiTheme="minorHAnsi" w:hAnsiTheme="minorHAnsi" w:cstheme="majorBidi"/>
          <w:position w:val="-6"/>
          <w:sz w:val="24"/>
          <w:szCs w:val="24"/>
        </w:rPr>
        <w:t>ans,</w:t>
      </w:r>
      <w:r w:rsidR="00D41243">
        <w:rPr>
          <w:rFonts w:asciiTheme="minorHAnsi" w:hAnsiTheme="minorHAnsi" w:cstheme="majorBidi"/>
          <w:position w:val="-6"/>
          <w:sz w:val="24"/>
          <w:szCs w:val="24"/>
        </w:rPr>
        <w:t xml:space="preserve"> </w:t>
      </w:r>
      <w:r w:rsidR="00D41243" w:rsidRPr="00036D26">
        <w:rPr>
          <w:rFonts w:asciiTheme="minorHAnsi" w:hAnsiTheme="minorHAnsi" w:cstheme="majorBidi"/>
          <w:position w:val="-6"/>
          <w:sz w:val="24"/>
          <w:szCs w:val="24"/>
        </w:rPr>
        <w:t>la</w:t>
      </w:r>
      <w:r w:rsidR="00EE3FBD" w:rsidRPr="00036D26">
        <w:rPr>
          <w:rFonts w:asciiTheme="minorHAnsi" w:hAnsiTheme="minorHAnsi" w:cstheme="majorBidi"/>
          <w:position w:val="-6"/>
          <w:sz w:val="24"/>
          <w:szCs w:val="24"/>
        </w:rPr>
        <w:t xml:space="preserve"> proportion des décès </w:t>
      </w:r>
      <w:r w:rsidR="00007021" w:rsidRPr="00036D26">
        <w:rPr>
          <w:rFonts w:asciiTheme="minorHAnsi" w:hAnsiTheme="minorHAnsi" w:cstheme="majorBidi"/>
          <w:position w:val="-6"/>
          <w:sz w:val="24"/>
          <w:szCs w:val="24"/>
        </w:rPr>
        <w:t>du</w:t>
      </w:r>
      <w:r w:rsidR="00007021">
        <w:rPr>
          <w:rFonts w:asciiTheme="minorHAnsi" w:hAnsiTheme="minorHAnsi" w:cstheme="majorBidi"/>
          <w:position w:val="-6"/>
          <w:sz w:val="24"/>
          <w:szCs w:val="24"/>
        </w:rPr>
        <w:t>s</w:t>
      </w:r>
      <w:r w:rsidR="00EE3FBD" w:rsidRPr="00036D26">
        <w:rPr>
          <w:rFonts w:asciiTheme="minorHAnsi" w:hAnsiTheme="minorHAnsi" w:cstheme="majorBidi"/>
          <w:position w:val="-6"/>
          <w:sz w:val="24"/>
          <w:szCs w:val="24"/>
        </w:rPr>
        <w:t xml:space="preserve"> à des maladies de l’a</w:t>
      </w:r>
      <w:r w:rsidR="009F5B84" w:rsidRPr="00036D26">
        <w:rPr>
          <w:rFonts w:asciiTheme="minorHAnsi" w:hAnsiTheme="minorHAnsi" w:cstheme="majorBidi"/>
          <w:position w:val="-6"/>
          <w:sz w:val="24"/>
          <w:szCs w:val="24"/>
        </w:rPr>
        <w:t xml:space="preserve">ppareil circulatoire </w:t>
      </w:r>
      <w:r w:rsidR="003378A0" w:rsidRPr="00036D26">
        <w:rPr>
          <w:rFonts w:asciiTheme="minorHAnsi" w:hAnsiTheme="minorHAnsi" w:cstheme="majorBidi"/>
          <w:position w:val="-6"/>
          <w:sz w:val="24"/>
          <w:szCs w:val="24"/>
        </w:rPr>
        <w:t>était de</w:t>
      </w:r>
      <w:r w:rsidR="00E019D3" w:rsidRPr="00036D26">
        <w:rPr>
          <w:rFonts w:asciiTheme="minorHAnsi" w:hAnsiTheme="minorHAnsi" w:cstheme="majorBidi"/>
          <w:position w:val="-6"/>
          <w:sz w:val="24"/>
          <w:szCs w:val="24"/>
        </w:rPr>
        <w:t xml:space="preserve"> 2</w:t>
      </w:r>
      <w:r w:rsidR="00515E58" w:rsidRPr="00036D26">
        <w:rPr>
          <w:rFonts w:asciiTheme="minorHAnsi" w:hAnsiTheme="minorHAnsi" w:cstheme="majorBidi"/>
          <w:position w:val="-6"/>
          <w:sz w:val="24"/>
          <w:szCs w:val="24"/>
        </w:rPr>
        <w:t>.</w:t>
      </w:r>
      <w:r w:rsidR="00F378B0">
        <w:rPr>
          <w:rFonts w:asciiTheme="minorHAnsi" w:hAnsiTheme="minorHAnsi" w:cstheme="majorBidi"/>
          <w:position w:val="-6"/>
          <w:sz w:val="24"/>
          <w:szCs w:val="24"/>
        </w:rPr>
        <w:t>1</w:t>
      </w:r>
      <w:r w:rsidR="00007021">
        <w:rPr>
          <w:rFonts w:asciiTheme="minorHAnsi" w:hAnsiTheme="minorHAnsi" w:cstheme="majorBidi"/>
          <w:position w:val="-6"/>
          <w:sz w:val="24"/>
          <w:szCs w:val="24"/>
        </w:rPr>
        <w:t xml:space="preserve"> %. </w:t>
      </w:r>
      <w:r>
        <w:rPr>
          <w:rFonts w:asciiTheme="minorHAnsi" w:hAnsiTheme="minorHAnsi" w:cstheme="majorBidi"/>
          <w:position w:val="-6"/>
          <w:sz w:val="24"/>
          <w:szCs w:val="24"/>
        </w:rPr>
        <w:t>Elle était</w:t>
      </w:r>
      <w:r w:rsidR="00F378B0">
        <w:rPr>
          <w:rFonts w:asciiTheme="minorHAnsi" w:hAnsiTheme="minorHAnsi" w:cstheme="majorBidi"/>
          <w:position w:val="-6"/>
          <w:sz w:val="24"/>
          <w:szCs w:val="24"/>
        </w:rPr>
        <w:t xml:space="preserve"> 10.1</w:t>
      </w:r>
      <w:r w:rsidR="00EE3FBD" w:rsidRPr="00036D26">
        <w:rPr>
          <w:rFonts w:asciiTheme="minorHAnsi" w:hAnsiTheme="minorHAnsi" w:cstheme="majorBidi"/>
          <w:position w:val="-6"/>
          <w:sz w:val="24"/>
          <w:szCs w:val="24"/>
        </w:rPr>
        <w:t xml:space="preserve">% chez les sujets âgés de 25 à 44 </w:t>
      </w:r>
      <w:r w:rsidR="00D41243" w:rsidRPr="00036D26">
        <w:rPr>
          <w:rFonts w:asciiTheme="minorHAnsi" w:hAnsiTheme="minorHAnsi" w:cstheme="majorBidi"/>
          <w:position w:val="-6"/>
          <w:sz w:val="24"/>
          <w:szCs w:val="24"/>
        </w:rPr>
        <w:t>ans,</w:t>
      </w:r>
      <w:r w:rsidR="00D41243">
        <w:rPr>
          <w:rFonts w:asciiTheme="minorHAnsi" w:hAnsiTheme="minorHAnsi" w:cstheme="majorBidi"/>
          <w:position w:val="-6"/>
          <w:sz w:val="24"/>
          <w:szCs w:val="24"/>
        </w:rPr>
        <w:t xml:space="preserve"> et</w:t>
      </w:r>
      <w:r>
        <w:rPr>
          <w:rFonts w:asciiTheme="minorHAnsi" w:hAnsiTheme="minorHAnsi" w:cstheme="majorBidi"/>
          <w:position w:val="-6"/>
          <w:sz w:val="24"/>
          <w:szCs w:val="24"/>
        </w:rPr>
        <w:t xml:space="preserve"> </w:t>
      </w:r>
      <w:r w:rsidR="00515E58" w:rsidRPr="00036D26">
        <w:rPr>
          <w:rFonts w:asciiTheme="minorHAnsi" w:hAnsiTheme="minorHAnsi" w:cstheme="majorBidi"/>
          <w:position w:val="-6"/>
          <w:sz w:val="24"/>
          <w:szCs w:val="24"/>
        </w:rPr>
        <w:t>2</w:t>
      </w:r>
      <w:r w:rsidR="00B86D0F">
        <w:rPr>
          <w:rFonts w:asciiTheme="minorHAnsi" w:hAnsiTheme="minorHAnsi" w:cstheme="majorBidi"/>
          <w:position w:val="-6"/>
          <w:sz w:val="24"/>
          <w:szCs w:val="24"/>
        </w:rPr>
        <w:t>9</w:t>
      </w:r>
      <w:r w:rsidR="00515E58" w:rsidRPr="00036D26">
        <w:rPr>
          <w:rFonts w:asciiTheme="minorHAnsi" w:hAnsiTheme="minorHAnsi" w:cstheme="majorBidi"/>
          <w:position w:val="-6"/>
          <w:sz w:val="24"/>
          <w:szCs w:val="24"/>
        </w:rPr>
        <w:t>.</w:t>
      </w:r>
      <w:r w:rsidR="00864C9D">
        <w:rPr>
          <w:rFonts w:asciiTheme="minorHAnsi" w:hAnsiTheme="minorHAnsi" w:cstheme="majorBidi"/>
          <w:position w:val="-6"/>
          <w:sz w:val="24"/>
          <w:szCs w:val="24"/>
        </w:rPr>
        <w:t>3</w:t>
      </w:r>
      <w:r w:rsidR="00D41243">
        <w:rPr>
          <w:rFonts w:asciiTheme="minorHAnsi" w:hAnsiTheme="minorHAnsi" w:cstheme="majorBidi"/>
          <w:position w:val="-6"/>
          <w:sz w:val="24"/>
          <w:szCs w:val="24"/>
        </w:rPr>
        <w:t xml:space="preserve"> </w:t>
      </w:r>
      <w:r w:rsidR="0057466F" w:rsidRPr="00036D26">
        <w:rPr>
          <w:rFonts w:asciiTheme="minorHAnsi" w:hAnsiTheme="minorHAnsi" w:cstheme="majorBidi"/>
          <w:position w:val="-6"/>
          <w:sz w:val="24"/>
          <w:szCs w:val="24"/>
        </w:rPr>
        <w:t>%</w:t>
      </w:r>
      <w:r w:rsidR="00D41243">
        <w:rPr>
          <w:rFonts w:asciiTheme="minorHAnsi" w:hAnsiTheme="minorHAnsi" w:cstheme="majorBidi"/>
          <w:position w:val="-6"/>
          <w:sz w:val="24"/>
          <w:szCs w:val="24"/>
        </w:rPr>
        <w:t xml:space="preserve">    </w:t>
      </w:r>
      <w:r w:rsidR="00EE3FBD" w:rsidRPr="00036D26">
        <w:rPr>
          <w:rFonts w:asciiTheme="minorHAnsi" w:hAnsiTheme="minorHAnsi" w:cstheme="majorBidi"/>
          <w:position w:val="-6"/>
          <w:sz w:val="24"/>
          <w:szCs w:val="24"/>
        </w:rPr>
        <w:t>chez ceux âgés</w:t>
      </w:r>
      <w:r w:rsidR="00D41243">
        <w:rPr>
          <w:rFonts w:asciiTheme="minorHAnsi" w:hAnsiTheme="minorHAnsi" w:cstheme="majorBidi"/>
          <w:position w:val="-6"/>
          <w:sz w:val="24"/>
          <w:szCs w:val="24"/>
        </w:rPr>
        <w:t xml:space="preserve"> </w:t>
      </w:r>
      <w:r>
        <w:rPr>
          <w:rFonts w:asciiTheme="minorHAnsi" w:hAnsiTheme="minorHAnsi" w:cstheme="majorBidi"/>
          <w:position w:val="-6"/>
          <w:sz w:val="24"/>
          <w:szCs w:val="24"/>
        </w:rPr>
        <w:t xml:space="preserve">de 45 à 64 ans. Elle demeurait la plus grande </w:t>
      </w:r>
      <w:r w:rsidR="0072162C">
        <w:rPr>
          <w:rFonts w:asciiTheme="minorHAnsi" w:hAnsiTheme="minorHAnsi" w:cstheme="majorBidi"/>
          <w:position w:val="-6"/>
          <w:sz w:val="24"/>
          <w:szCs w:val="24"/>
        </w:rPr>
        <w:t xml:space="preserve">avec </w:t>
      </w:r>
      <w:r w:rsidR="00B86D0F">
        <w:rPr>
          <w:rFonts w:asciiTheme="minorHAnsi" w:hAnsiTheme="minorHAnsi" w:cstheme="majorBidi"/>
          <w:position w:val="-6"/>
          <w:sz w:val="24"/>
          <w:szCs w:val="24"/>
        </w:rPr>
        <w:t>5</w:t>
      </w:r>
      <w:r w:rsidR="00F378B0">
        <w:rPr>
          <w:rFonts w:asciiTheme="minorHAnsi" w:hAnsiTheme="minorHAnsi" w:cstheme="majorBidi"/>
          <w:position w:val="-6"/>
          <w:sz w:val="24"/>
          <w:szCs w:val="24"/>
        </w:rPr>
        <w:t>8.</w:t>
      </w:r>
      <w:r w:rsidR="00864C9D">
        <w:rPr>
          <w:rFonts w:asciiTheme="minorHAnsi" w:hAnsiTheme="minorHAnsi" w:cstheme="majorBidi"/>
          <w:position w:val="-6"/>
          <w:sz w:val="24"/>
          <w:szCs w:val="24"/>
        </w:rPr>
        <w:t>5</w:t>
      </w:r>
      <w:r w:rsidR="00D41243">
        <w:rPr>
          <w:rFonts w:asciiTheme="minorHAnsi" w:hAnsiTheme="minorHAnsi" w:cstheme="majorBidi"/>
          <w:position w:val="-6"/>
          <w:sz w:val="24"/>
          <w:szCs w:val="24"/>
        </w:rPr>
        <w:t xml:space="preserve"> </w:t>
      </w:r>
      <w:r w:rsidR="0057466F" w:rsidRPr="00036D26">
        <w:rPr>
          <w:rFonts w:asciiTheme="minorHAnsi" w:hAnsiTheme="minorHAnsi" w:cstheme="majorBidi"/>
          <w:position w:val="-6"/>
          <w:sz w:val="24"/>
          <w:szCs w:val="24"/>
        </w:rPr>
        <w:t xml:space="preserve">% </w:t>
      </w:r>
      <w:r w:rsidR="00EE3FBD" w:rsidRPr="00036D26">
        <w:rPr>
          <w:rFonts w:asciiTheme="minorHAnsi" w:hAnsiTheme="minorHAnsi" w:cstheme="majorBidi"/>
          <w:position w:val="-6"/>
          <w:sz w:val="24"/>
          <w:szCs w:val="24"/>
        </w:rPr>
        <w:t>chez le</w:t>
      </w:r>
      <w:r w:rsidR="00E019D3" w:rsidRPr="00036D26">
        <w:rPr>
          <w:rFonts w:asciiTheme="minorHAnsi" w:hAnsiTheme="minorHAnsi" w:cstheme="majorBidi"/>
          <w:position w:val="-6"/>
          <w:sz w:val="24"/>
          <w:szCs w:val="24"/>
        </w:rPr>
        <w:t>s sujets âgés de plus de 64</w:t>
      </w:r>
      <w:r w:rsidR="00AD16D6" w:rsidRPr="00036D26">
        <w:rPr>
          <w:rFonts w:asciiTheme="minorHAnsi" w:hAnsiTheme="minorHAnsi" w:cstheme="majorBidi"/>
          <w:position w:val="-6"/>
          <w:sz w:val="24"/>
          <w:szCs w:val="24"/>
        </w:rPr>
        <w:t xml:space="preserve"> ans</w:t>
      </w:r>
      <w:r w:rsidR="00EE3FBD" w:rsidRPr="00036D26">
        <w:rPr>
          <w:rFonts w:asciiTheme="minorHAnsi" w:hAnsiTheme="minorHAnsi" w:cstheme="majorBidi"/>
          <w:position w:val="-6"/>
          <w:sz w:val="24"/>
          <w:szCs w:val="24"/>
        </w:rPr>
        <w:t>.</w:t>
      </w:r>
    </w:p>
    <w:p w:rsidR="00802190" w:rsidRPr="00802190" w:rsidRDefault="00802190" w:rsidP="00802190">
      <w:pPr>
        <w:ind w:right="-1"/>
        <w:rPr>
          <w:rFonts w:asciiTheme="minorHAnsi" w:hAnsiTheme="minorHAnsi" w:cstheme="majorBidi"/>
          <w:position w:val="-6"/>
          <w:sz w:val="14"/>
          <w:szCs w:val="14"/>
        </w:rPr>
      </w:pPr>
    </w:p>
    <w:p w:rsidR="001A6F77" w:rsidRPr="005E19A8" w:rsidRDefault="00AF3983" w:rsidP="005E19A8">
      <w:pPr>
        <w:ind w:right="180"/>
        <w:jc w:val="both"/>
        <w:rPr>
          <w:rFonts w:asciiTheme="minorHAnsi" w:hAnsiTheme="minorHAnsi" w:cstheme="majorBidi"/>
          <w:position w:val="-6"/>
          <w:sz w:val="24"/>
          <w:szCs w:val="24"/>
        </w:rPr>
      </w:pPr>
      <w:r w:rsidRPr="005E19A8">
        <w:rPr>
          <w:rFonts w:asciiTheme="minorHAnsi" w:hAnsiTheme="minorHAnsi" w:cstheme="majorBidi"/>
          <w:position w:val="-6"/>
          <w:sz w:val="24"/>
          <w:szCs w:val="24"/>
        </w:rPr>
        <w:t xml:space="preserve">Parmi les </w:t>
      </w:r>
      <w:r w:rsidR="00BD4531" w:rsidRPr="005E19A8">
        <w:rPr>
          <w:rFonts w:asciiTheme="minorHAnsi" w:hAnsiTheme="minorHAnsi" w:cstheme="majorBidi"/>
          <w:position w:val="-6"/>
          <w:sz w:val="24"/>
          <w:szCs w:val="24"/>
        </w:rPr>
        <w:t>3</w:t>
      </w:r>
      <w:r w:rsidR="00F378B0" w:rsidRPr="005E19A8">
        <w:rPr>
          <w:rFonts w:asciiTheme="minorHAnsi" w:hAnsiTheme="minorHAnsi" w:cstheme="majorBidi"/>
          <w:position w:val="-6"/>
          <w:sz w:val="24"/>
          <w:szCs w:val="24"/>
        </w:rPr>
        <w:t>91</w:t>
      </w:r>
      <w:r w:rsidR="00AD16D6" w:rsidRPr="005E19A8">
        <w:rPr>
          <w:rFonts w:asciiTheme="minorHAnsi" w:hAnsiTheme="minorHAnsi" w:cstheme="majorBidi"/>
          <w:position w:val="-6"/>
          <w:sz w:val="24"/>
          <w:szCs w:val="24"/>
        </w:rPr>
        <w:t xml:space="preserve"> décès enregistrés chez les n</w:t>
      </w:r>
      <w:r w:rsidR="00BD4531" w:rsidRPr="005E19A8">
        <w:rPr>
          <w:rFonts w:asciiTheme="minorHAnsi" w:hAnsiTheme="minorHAnsi" w:cstheme="majorBidi"/>
          <w:position w:val="-6"/>
          <w:sz w:val="24"/>
          <w:szCs w:val="24"/>
        </w:rPr>
        <w:t xml:space="preserve">ourrissons de moins d’un an, </w:t>
      </w:r>
      <w:r w:rsidR="00F378B0" w:rsidRPr="005E19A8">
        <w:rPr>
          <w:rFonts w:asciiTheme="minorHAnsi" w:hAnsiTheme="minorHAnsi" w:cstheme="majorBidi"/>
          <w:position w:val="-6"/>
          <w:sz w:val="24"/>
          <w:szCs w:val="24"/>
        </w:rPr>
        <w:t>304</w:t>
      </w:r>
      <w:r w:rsidR="00174AA9" w:rsidRPr="005E19A8">
        <w:rPr>
          <w:rFonts w:asciiTheme="minorHAnsi" w:hAnsiTheme="minorHAnsi" w:cstheme="majorBidi"/>
          <w:position w:val="-6"/>
          <w:sz w:val="24"/>
          <w:szCs w:val="24"/>
        </w:rPr>
        <w:t xml:space="preserve"> soit </w:t>
      </w:r>
      <w:r w:rsidR="00BD4531" w:rsidRPr="005E19A8">
        <w:rPr>
          <w:rFonts w:asciiTheme="minorHAnsi" w:hAnsiTheme="minorHAnsi" w:cstheme="majorBidi"/>
          <w:position w:val="-6"/>
          <w:sz w:val="24"/>
          <w:szCs w:val="24"/>
        </w:rPr>
        <w:t>7</w:t>
      </w:r>
      <w:r w:rsidR="008E63E3" w:rsidRPr="005E19A8">
        <w:rPr>
          <w:rFonts w:asciiTheme="minorHAnsi" w:hAnsiTheme="minorHAnsi" w:cstheme="majorBidi"/>
          <w:position w:val="-6"/>
          <w:sz w:val="24"/>
          <w:szCs w:val="24"/>
        </w:rPr>
        <w:t>7.7</w:t>
      </w:r>
      <w:r w:rsidR="00AD16D6" w:rsidRPr="005E19A8">
        <w:rPr>
          <w:rFonts w:asciiTheme="minorHAnsi" w:hAnsiTheme="minorHAnsi" w:cstheme="majorBidi"/>
          <w:position w:val="-6"/>
          <w:sz w:val="24"/>
          <w:szCs w:val="24"/>
        </w:rPr>
        <w:t>% ont concerné des nouveau-nés âgés de moins de 29 jours (décès néonata</w:t>
      </w:r>
      <w:r w:rsidR="00786FA2">
        <w:rPr>
          <w:rFonts w:asciiTheme="minorHAnsi" w:hAnsiTheme="minorHAnsi" w:cstheme="majorBidi"/>
          <w:position w:val="-6"/>
          <w:sz w:val="24"/>
          <w:szCs w:val="24"/>
        </w:rPr>
        <w:t>ls)</w:t>
      </w:r>
      <w:r w:rsidR="00AD16D6" w:rsidRPr="005E19A8">
        <w:rPr>
          <w:rFonts w:asciiTheme="minorHAnsi" w:hAnsiTheme="minorHAnsi" w:cstheme="majorBidi"/>
          <w:position w:val="-6"/>
          <w:sz w:val="24"/>
          <w:szCs w:val="24"/>
        </w:rPr>
        <w:t>. Chez ceux-ci, les troubles en rapport avec la brièveté de la gestation</w:t>
      </w:r>
      <w:r w:rsidR="0058515C" w:rsidRPr="005E19A8">
        <w:rPr>
          <w:rFonts w:asciiTheme="minorHAnsi" w:hAnsiTheme="minorHAnsi" w:cstheme="majorBidi"/>
          <w:position w:val="-6"/>
          <w:sz w:val="24"/>
          <w:szCs w:val="24"/>
        </w:rPr>
        <w:t xml:space="preserve"> (prématurité) ont représenté </w:t>
      </w:r>
      <w:r w:rsidR="005D13D2" w:rsidRPr="005E19A8">
        <w:rPr>
          <w:rFonts w:asciiTheme="minorHAnsi" w:hAnsiTheme="minorHAnsi" w:cstheme="majorBidi"/>
          <w:position w:val="-6"/>
          <w:sz w:val="24"/>
          <w:szCs w:val="24"/>
        </w:rPr>
        <w:t>5</w:t>
      </w:r>
      <w:r w:rsidR="008E63E3" w:rsidRPr="005E19A8">
        <w:rPr>
          <w:rFonts w:asciiTheme="minorHAnsi" w:hAnsiTheme="minorHAnsi" w:cstheme="majorBidi"/>
          <w:position w:val="-6"/>
          <w:sz w:val="24"/>
          <w:szCs w:val="24"/>
        </w:rPr>
        <w:t>2</w:t>
      </w:r>
      <w:r w:rsidR="00AD16D6" w:rsidRPr="005E19A8">
        <w:rPr>
          <w:rFonts w:asciiTheme="minorHAnsi" w:hAnsiTheme="minorHAnsi" w:cstheme="majorBidi"/>
          <w:position w:val="-6"/>
          <w:sz w:val="24"/>
          <w:szCs w:val="24"/>
        </w:rPr>
        <w:t xml:space="preserve">% des </w:t>
      </w:r>
      <w:r w:rsidR="00E019D3" w:rsidRPr="005E19A8">
        <w:rPr>
          <w:rFonts w:asciiTheme="minorHAnsi" w:hAnsiTheme="minorHAnsi" w:cstheme="majorBidi"/>
          <w:position w:val="-6"/>
          <w:sz w:val="24"/>
          <w:szCs w:val="24"/>
        </w:rPr>
        <w:t>causes,</w:t>
      </w:r>
      <w:r w:rsidR="00AD16D6" w:rsidRPr="005E19A8">
        <w:rPr>
          <w:rFonts w:asciiTheme="minorHAnsi" w:hAnsiTheme="minorHAnsi" w:cstheme="majorBidi"/>
          <w:position w:val="-6"/>
          <w:sz w:val="24"/>
          <w:szCs w:val="24"/>
        </w:rPr>
        <w:t xml:space="preserve"> suivis par</w:t>
      </w:r>
      <w:r w:rsidR="005E19A8" w:rsidRPr="005E19A8">
        <w:rPr>
          <w:rFonts w:asciiTheme="minorHAnsi" w:hAnsiTheme="minorHAnsi" w:cstheme="majorBidi"/>
          <w:position w:val="-6"/>
          <w:sz w:val="24"/>
          <w:szCs w:val="24"/>
        </w:rPr>
        <w:t xml:space="preserve"> les affections respiratoires et cardiovasculaires</w:t>
      </w:r>
      <w:r w:rsidR="00577FA2">
        <w:rPr>
          <w:rFonts w:asciiTheme="minorHAnsi" w:hAnsiTheme="minorHAnsi" w:cstheme="majorBidi"/>
          <w:position w:val="-6"/>
          <w:sz w:val="24"/>
          <w:szCs w:val="24"/>
        </w:rPr>
        <w:t xml:space="preserve"> </w:t>
      </w:r>
      <w:r w:rsidR="00C106DC" w:rsidRPr="005E19A8">
        <w:rPr>
          <w:rFonts w:asciiTheme="minorHAnsi" w:hAnsiTheme="minorHAnsi" w:cstheme="majorBidi"/>
          <w:position w:val="-6"/>
          <w:sz w:val="24"/>
          <w:szCs w:val="24"/>
        </w:rPr>
        <w:t>(</w:t>
      </w:r>
      <w:r w:rsidR="005E19A8" w:rsidRPr="005E19A8">
        <w:rPr>
          <w:rFonts w:asciiTheme="minorHAnsi" w:hAnsiTheme="minorHAnsi" w:cstheme="majorBidi"/>
          <w:position w:val="-6"/>
          <w:sz w:val="24"/>
          <w:szCs w:val="24"/>
        </w:rPr>
        <w:t>23</w:t>
      </w:r>
      <w:r w:rsidR="00A42C66" w:rsidRPr="005E19A8">
        <w:rPr>
          <w:rFonts w:asciiTheme="minorHAnsi" w:hAnsiTheme="minorHAnsi" w:cstheme="majorBidi"/>
          <w:position w:val="-6"/>
          <w:sz w:val="24"/>
          <w:szCs w:val="24"/>
        </w:rPr>
        <w:t>%</w:t>
      </w:r>
      <w:r w:rsidR="00C106DC" w:rsidRPr="005E19A8">
        <w:rPr>
          <w:rFonts w:asciiTheme="minorHAnsi" w:hAnsiTheme="minorHAnsi" w:cstheme="majorBidi"/>
          <w:position w:val="-6"/>
          <w:sz w:val="24"/>
          <w:szCs w:val="24"/>
        </w:rPr>
        <w:t>)</w:t>
      </w:r>
      <w:r w:rsidR="008E63E3" w:rsidRPr="005E19A8">
        <w:rPr>
          <w:rFonts w:asciiTheme="minorHAnsi" w:hAnsiTheme="minorHAnsi" w:cstheme="majorBidi"/>
          <w:position w:val="-6"/>
          <w:sz w:val="24"/>
          <w:szCs w:val="24"/>
        </w:rPr>
        <w:t xml:space="preserve"> et les anomalies congénitales (16.8%)</w:t>
      </w:r>
      <w:r w:rsidR="00C106DC" w:rsidRPr="005E19A8">
        <w:rPr>
          <w:rFonts w:asciiTheme="minorHAnsi" w:hAnsiTheme="minorHAnsi" w:cstheme="majorBidi"/>
          <w:position w:val="-6"/>
          <w:sz w:val="24"/>
          <w:szCs w:val="24"/>
        </w:rPr>
        <w:t>, tandis que</w:t>
      </w:r>
      <w:r w:rsidR="005E19A8" w:rsidRPr="005E19A8">
        <w:rPr>
          <w:rFonts w:asciiTheme="minorHAnsi" w:hAnsiTheme="minorHAnsi" w:cstheme="majorBidi"/>
          <w:position w:val="-6"/>
          <w:sz w:val="24"/>
          <w:szCs w:val="24"/>
        </w:rPr>
        <w:t xml:space="preserve"> les anomalies endocriniennes et </w:t>
      </w:r>
      <w:r w:rsidR="00D41243" w:rsidRPr="005E19A8">
        <w:rPr>
          <w:rFonts w:asciiTheme="minorHAnsi" w:hAnsiTheme="minorHAnsi" w:cstheme="majorBidi"/>
          <w:position w:val="-6"/>
          <w:sz w:val="24"/>
          <w:szCs w:val="24"/>
        </w:rPr>
        <w:t>métaboliques étaient</w:t>
      </w:r>
      <w:r w:rsidR="008E63E3" w:rsidRPr="005E19A8">
        <w:rPr>
          <w:rFonts w:asciiTheme="minorHAnsi" w:hAnsiTheme="minorHAnsi" w:cstheme="majorBidi"/>
          <w:position w:val="-6"/>
          <w:sz w:val="24"/>
          <w:szCs w:val="24"/>
        </w:rPr>
        <w:t xml:space="preserve"> les dernières </w:t>
      </w:r>
      <w:r w:rsidR="00C106DC" w:rsidRPr="005E19A8">
        <w:rPr>
          <w:rFonts w:asciiTheme="minorHAnsi" w:hAnsiTheme="minorHAnsi" w:cstheme="majorBidi"/>
          <w:position w:val="-6"/>
          <w:sz w:val="24"/>
          <w:szCs w:val="24"/>
        </w:rPr>
        <w:t>avec</w:t>
      </w:r>
      <w:r w:rsidR="00D41243">
        <w:rPr>
          <w:rFonts w:asciiTheme="minorHAnsi" w:hAnsiTheme="minorHAnsi" w:cstheme="majorBidi"/>
          <w:position w:val="-6"/>
          <w:sz w:val="24"/>
          <w:szCs w:val="24"/>
        </w:rPr>
        <w:t xml:space="preserve"> </w:t>
      </w:r>
      <w:r w:rsidR="005E19A8" w:rsidRPr="005E19A8">
        <w:rPr>
          <w:rFonts w:asciiTheme="minorHAnsi" w:hAnsiTheme="minorHAnsi" w:cstheme="majorBidi"/>
          <w:position w:val="-6"/>
          <w:sz w:val="24"/>
          <w:szCs w:val="24"/>
        </w:rPr>
        <w:t>1</w:t>
      </w:r>
      <w:r w:rsidR="00C106DC" w:rsidRPr="005E19A8">
        <w:rPr>
          <w:rFonts w:asciiTheme="minorHAnsi" w:hAnsiTheme="minorHAnsi" w:cstheme="majorBidi"/>
          <w:position w:val="-6"/>
          <w:sz w:val="24"/>
          <w:szCs w:val="24"/>
        </w:rPr>
        <w:t>%</w:t>
      </w:r>
      <w:r w:rsidR="008E63E3" w:rsidRPr="005E19A8">
        <w:rPr>
          <w:rFonts w:asciiTheme="minorHAnsi" w:hAnsiTheme="minorHAnsi" w:cstheme="majorBidi"/>
          <w:position w:val="-6"/>
          <w:sz w:val="24"/>
          <w:szCs w:val="24"/>
        </w:rPr>
        <w:t xml:space="preserve"> des causes</w:t>
      </w:r>
      <w:r w:rsidR="00C106DC" w:rsidRPr="005E19A8">
        <w:rPr>
          <w:rFonts w:asciiTheme="minorHAnsi" w:hAnsiTheme="minorHAnsi" w:cstheme="majorBidi"/>
          <w:position w:val="-6"/>
          <w:sz w:val="24"/>
          <w:szCs w:val="24"/>
        </w:rPr>
        <w:t xml:space="preserve">. </w:t>
      </w:r>
      <w:r w:rsidR="005E3317" w:rsidRPr="005E19A8">
        <w:rPr>
          <w:rFonts w:asciiTheme="minorHAnsi" w:hAnsiTheme="minorHAnsi" w:cstheme="majorBidi"/>
          <w:position w:val="-6"/>
          <w:sz w:val="24"/>
          <w:szCs w:val="24"/>
        </w:rPr>
        <w:t>(</w:t>
      </w:r>
      <w:r w:rsidR="005E3317" w:rsidRPr="005E19A8">
        <w:rPr>
          <w:rFonts w:asciiTheme="minorHAnsi" w:hAnsiTheme="minorHAnsi" w:cstheme="majorBidi"/>
          <w:b/>
          <w:bCs/>
          <w:position w:val="-6"/>
          <w:sz w:val="24"/>
          <w:szCs w:val="24"/>
        </w:rPr>
        <w:t>Tableau 4</w:t>
      </w:r>
      <w:r w:rsidR="005E3317" w:rsidRPr="005E19A8">
        <w:rPr>
          <w:rFonts w:asciiTheme="minorHAnsi" w:hAnsiTheme="minorHAnsi" w:cstheme="majorBidi"/>
          <w:position w:val="-6"/>
          <w:sz w:val="24"/>
          <w:szCs w:val="24"/>
        </w:rPr>
        <w:t xml:space="preserve">).  </w:t>
      </w:r>
    </w:p>
    <w:p w:rsidR="00C106DC" w:rsidRPr="00802190" w:rsidRDefault="00C106DC" w:rsidP="00C106DC">
      <w:pPr>
        <w:ind w:right="180"/>
        <w:jc w:val="both"/>
        <w:rPr>
          <w:rFonts w:asciiTheme="minorHAnsi" w:hAnsiTheme="minorHAnsi" w:cstheme="majorBidi"/>
          <w:position w:val="-6"/>
          <w:sz w:val="16"/>
          <w:szCs w:val="16"/>
        </w:rPr>
      </w:pPr>
    </w:p>
    <w:p w:rsidR="00ED27FE" w:rsidRPr="00792E1B" w:rsidRDefault="00AD16D6" w:rsidP="00577FA2">
      <w:pPr>
        <w:ind w:right="180"/>
        <w:rPr>
          <w:rFonts w:asciiTheme="minorHAnsi" w:hAnsiTheme="minorHAnsi" w:cstheme="majorBidi"/>
          <w:position w:val="-6"/>
          <w:sz w:val="24"/>
          <w:szCs w:val="24"/>
        </w:rPr>
      </w:pPr>
      <w:r w:rsidRPr="005E19A8">
        <w:rPr>
          <w:rFonts w:asciiTheme="minorHAnsi" w:hAnsiTheme="minorHAnsi" w:cstheme="majorBidi"/>
          <w:position w:val="-6"/>
          <w:sz w:val="24"/>
          <w:szCs w:val="24"/>
        </w:rPr>
        <w:t>L</w:t>
      </w:r>
      <w:r w:rsidR="00EB71A1" w:rsidRPr="005E19A8">
        <w:rPr>
          <w:rFonts w:asciiTheme="minorHAnsi" w:hAnsiTheme="minorHAnsi" w:cstheme="majorBidi"/>
          <w:position w:val="-6"/>
          <w:sz w:val="24"/>
          <w:szCs w:val="24"/>
        </w:rPr>
        <w:t>a</w:t>
      </w:r>
      <w:r w:rsidRPr="005E19A8">
        <w:rPr>
          <w:rFonts w:asciiTheme="minorHAnsi" w:hAnsiTheme="minorHAnsi" w:cstheme="majorBidi"/>
          <w:position w:val="-6"/>
          <w:sz w:val="24"/>
          <w:szCs w:val="24"/>
        </w:rPr>
        <w:t xml:space="preserve"> proportion de</w:t>
      </w:r>
      <w:r w:rsidR="00C333D7" w:rsidRPr="005E19A8">
        <w:rPr>
          <w:rFonts w:asciiTheme="minorHAnsi" w:hAnsiTheme="minorHAnsi" w:cstheme="majorBidi"/>
          <w:position w:val="-6"/>
          <w:sz w:val="24"/>
          <w:szCs w:val="24"/>
        </w:rPr>
        <w:t>s décès par</w:t>
      </w:r>
      <w:r w:rsidR="00577FA2">
        <w:rPr>
          <w:rFonts w:asciiTheme="minorHAnsi" w:hAnsiTheme="minorHAnsi" w:cstheme="majorBidi"/>
          <w:position w:val="-6"/>
          <w:sz w:val="24"/>
          <w:szCs w:val="24"/>
        </w:rPr>
        <w:t xml:space="preserve"> </w:t>
      </w:r>
      <w:r w:rsidRPr="005E19A8">
        <w:rPr>
          <w:rFonts w:asciiTheme="minorHAnsi" w:hAnsiTheme="minorHAnsi" w:cstheme="majorBidi"/>
          <w:position w:val="-6"/>
          <w:sz w:val="24"/>
          <w:szCs w:val="24"/>
        </w:rPr>
        <w:t>prématurité</w:t>
      </w:r>
      <w:r w:rsidR="00577FA2">
        <w:rPr>
          <w:rFonts w:asciiTheme="minorHAnsi" w:hAnsiTheme="minorHAnsi" w:cstheme="majorBidi"/>
          <w:position w:val="-6"/>
          <w:sz w:val="24"/>
          <w:szCs w:val="24"/>
        </w:rPr>
        <w:t xml:space="preserve"> </w:t>
      </w:r>
      <w:r w:rsidRPr="005E19A8">
        <w:rPr>
          <w:rFonts w:asciiTheme="minorHAnsi" w:hAnsiTheme="minorHAnsi" w:cstheme="majorBidi"/>
          <w:position w:val="-6"/>
          <w:sz w:val="24"/>
          <w:szCs w:val="24"/>
        </w:rPr>
        <w:t>chez les nourrissons de m</w:t>
      </w:r>
      <w:r w:rsidR="00DF592D" w:rsidRPr="005E19A8">
        <w:rPr>
          <w:rFonts w:asciiTheme="minorHAnsi" w:hAnsiTheme="minorHAnsi" w:cstheme="majorBidi"/>
          <w:position w:val="-6"/>
          <w:sz w:val="24"/>
          <w:szCs w:val="24"/>
        </w:rPr>
        <w:t>oins d’une semaine</w:t>
      </w:r>
      <w:r w:rsidR="00577FA2">
        <w:rPr>
          <w:rFonts w:asciiTheme="minorHAnsi" w:hAnsiTheme="minorHAnsi" w:cstheme="majorBidi"/>
          <w:position w:val="-6"/>
          <w:sz w:val="24"/>
          <w:szCs w:val="24"/>
        </w:rPr>
        <w:t xml:space="preserve"> </w:t>
      </w:r>
      <w:r w:rsidR="008E63E3" w:rsidRPr="005E19A8">
        <w:rPr>
          <w:rFonts w:asciiTheme="minorHAnsi" w:hAnsiTheme="minorHAnsi" w:cstheme="majorBidi"/>
          <w:position w:val="-6"/>
          <w:sz w:val="24"/>
          <w:szCs w:val="24"/>
        </w:rPr>
        <w:t>(55</w:t>
      </w:r>
      <w:r w:rsidR="00DC6C06" w:rsidRPr="005E19A8">
        <w:rPr>
          <w:rFonts w:asciiTheme="minorHAnsi" w:hAnsiTheme="minorHAnsi" w:cstheme="majorBidi"/>
          <w:position w:val="-6"/>
          <w:sz w:val="24"/>
          <w:szCs w:val="24"/>
        </w:rPr>
        <w:t>.</w:t>
      </w:r>
      <w:r w:rsidR="008E63E3" w:rsidRPr="005E19A8">
        <w:rPr>
          <w:rFonts w:asciiTheme="minorHAnsi" w:hAnsiTheme="minorHAnsi" w:cstheme="majorBidi"/>
          <w:position w:val="-6"/>
          <w:sz w:val="24"/>
          <w:szCs w:val="24"/>
        </w:rPr>
        <w:t>6</w:t>
      </w:r>
      <w:r w:rsidR="00C106DC" w:rsidRPr="005E19A8">
        <w:rPr>
          <w:rFonts w:asciiTheme="minorHAnsi" w:hAnsiTheme="minorHAnsi" w:cstheme="majorBidi"/>
          <w:position w:val="-6"/>
          <w:sz w:val="24"/>
          <w:szCs w:val="24"/>
        </w:rPr>
        <w:t>%</w:t>
      </w:r>
      <w:r w:rsidR="008E63E3" w:rsidRPr="005E19A8">
        <w:rPr>
          <w:rFonts w:asciiTheme="minorHAnsi" w:hAnsiTheme="minorHAnsi" w:cstheme="majorBidi"/>
          <w:position w:val="-6"/>
          <w:sz w:val="24"/>
          <w:szCs w:val="24"/>
        </w:rPr>
        <w:t>)</w:t>
      </w:r>
      <w:r w:rsidR="00577FA2">
        <w:rPr>
          <w:rFonts w:asciiTheme="minorHAnsi" w:hAnsiTheme="minorHAnsi" w:cstheme="majorBidi"/>
          <w:position w:val="-6"/>
          <w:sz w:val="24"/>
          <w:szCs w:val="24"/>
        </w:rPr>
        <w:t xml:space="preserve"> </w:t>
      </w:r>
      <w:r w:rsidR="00DF592D" w:rsidRPr="005E19A8">
        <w:rPr>
          <w:rFonts w:asciiTheme="minorHAnsi" w:hAnsiTheme="minorHAnsi" w:cstheme="majorBidi"/>
          <w:position w:val="-6"/>
          <w:sz w:val="24"/>
          <w:szCs w:val="24"/>
        </w:rPr>
        <w:t xml:space="preserve">était plus </w:t>
      </w:r>
      <w:r w:rsidR="00C106DC" w:rsidRPr="005E19A8">
        <w:rPr>
          <w:rFonts w:asciiTheme="minorHAnsi" w:hAnsiTheme="minorHAnsi" w:cstheme="majorBidi"/>
          <w:position w:val="-6"/>
          <w:sz w:val="24"/>
          <w:szCs w:val="24"/>
        </w:rPr>
        <w:t xml:space="preserve">élevée </w:t>
      </w:r>
      <w:r w:rsidR="00577FA2" w:rsidRPr="00792E1B">
        <w:rPr>
          <w:rFonts w:asciiTheme="minorHAnsi" w:hAnsiTheme="minorHAnsi" w:cstheme="majorBidi"/>
          <w:position w:val="-6"/>
          <w:sz w:val="24"/>
          <w:szCs w:val="24"/>
        </w:rPr>
        <w:t>(p=0.01</w:t>
      </w:r>
      <w:r w:rsidR="00577FA2">
        <w:rPr>
          <w:rFonts w:asciiTheme="minorHAnsi" w:hAnsiTheme="minorHAnsi" w:cstheme="majorBidi"/>
          <w:position w:val="-6"/>
          <w:sz w:val="24"/>
          <w:szCs w:val="24"/>
        </w:rPr>
        <w:t xml:space="preserve">) </w:t>
      </w:r>
      <w:r w:rsidR="00C106DC" w:rsidRPr="005E19A8">
        <w:rPr>
          <w:rFonts w:asciiTheme="minorHAnsi" w:hAnsiTheme="minorHAnsi" w:cstheme="majorBidi"/>
          <w:position w:val="-6"/>
          <w:sz w:val="24"/>
          <w:szCs w:val="24"/>
        </w:rPr>
        <w:t xml:space="preserve">par rapport à </w:t>
      </w:r>
      <w:r w:rsidRPr="005E19A8">
        <w:rPr>
          <w:rFonts w:asciiTheme="minorHAnsi" w:hAnsiTheme="minorHAnsi" w:cstheme="majorBidi"/>
          <w:position w:val="-6"/>
          <w:sz w:val="24"/>
          <w:szCs w:val="24"/>
        </w:rPr>
        <w:t>celle de</w:t>
      </w:r>
      <w:r w:rsidR="00C106DC" w:rsidRPr="005E19A8">
        <w:rPr>
          <w:rFonts w:asciiTheme="minorHAnsi" w:hAnsiTheme="minorHAnsi" w:cstheme="majorBidi"/>
          <w:position w:val="-6"/>
          <w:sz w:val="24"/>
          <w:szCs w:val="24"/>
        </w:rPr>
        <w:t xml:space="preserve">s </w:t>
      </w:r>
      <w:r w:rsidR="00791A85" w:rsidRPr="005E19A8">
        <w:rPr>
          <w:rFonts w:asciiTheme="minorHAnsi" w:hAnsiTheme="minorHAnsi" w:cstheme="majorBidi"/>
          <w:position w:val="-6"/>
          <w:sz w:val="24"/>
          <w:szCs w:val="24"/>
        </w:rPr>
        <w:t xml:space="preserve">enfants </w:t>
      </w:r>
      <w:r w:rsidR="00703FDB" w:rsidRPr="005E19A8">
        <w:rPr>
          <w:rFonts w:asciiTheme="minorHAnsi" w:hAnsiTheme="minorHAnsi" w:cstheme="majorBidi"/>
          <w:position w:val="-6"/>
          <w:sz w:val="24"/>
          <w:szCs w:val="24"/>
        </w:rPr>
        <w:t xml:space="preserve">âgés de 7 à 28 </w:t>
      </w:r>
      <w:r w:rsidR="00703FDB" w:rsidRPr="00792E1B">
        <w:rPr>
          <w:rFonts w:asciiTheme="minorHAnsi" w:hAnsiTheme="minorHAnsi" w:cstheme="majorBidi"/>
          <w:position w:val="-6"/>
          <w:sz w:val="24"/>
          <w:szCs w:val="24"/>
        </w:rPr>
        <w:t>jours</w:t>
      </w:r>
      <w:r w:rsidR="008E63E3" w:rsidRPr="00792E1B">
        <w:rPr>
          <w:rFonts w:asciiTheme="minorHAnsi" w:hAnsiTheme="minorHAnsi" w:cstheme="majorBidi"/>
          <w:position w:val="-6"/>
          <w:sz w:val="24"/>
          <w:szCs w:val="24"/>
        </w:rPr>
        <w:t xml:space="preserve"> (40%)</w:t>
      </w:r>
      <w:r w:rsidR="00577FA2">
        <w:rPr>
          <w:rFonts w:asciiTheme="minorHAnsi" w:hAnsiTheme="minorHAnsi" w:cstheme="majorBidi"/>
          <w:position w:val="-6"/>
          <w:sz w:val="24"/>
          <w:szCs w:val="24"/>
        </w:rPr>
        <w:t>.</w:t>
      </w:r>
    </w:p>
    <w:p w:rsidR="0081151C" w:rsidRPr="0081151C" w:rsidRDefault="0081151C" w:rsidP="003F035B">
      <w:pPr>
        <w:ind w:right="180"/>
        <w:jc w:val="both"/>
        <w:rPr>
          <w:rFonts w:asciiTheme="minorHAnsi" w:hAnsiTheme="minorHAnsi" w:cstheme="majorBidi"/>
          <w:position w:val="-6"/>
          <w:sz w:val="16"/>
          <w:szCs w:val="16"/>
        </w:rPr>
      </w:pPr>
    </w:p>
    <w:p w:rsidR="00DA6005" w:rsidRPr="00036D26" w:rsidRDefault="00673A47" w:rsidP="001F7EF9">
      <w:pPr>
        <w:ind w:right="180"/>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L</w:t>
      </w:r>
      <w:r w:rsidR="00AD16D6" w:rsidRPr="00036D26">
        <w:rPr>
          <w:rFonts w:asciiTheme="minorHAnsi" w:hAnsiTheme="minorHAnsi" w:cstheme="majorBidi"/>
          <w:position w:val="-6"/>
          <w:sz w:val="24"/>
          <w:szCs w:val="24"/>
        </w:rPr>
        <w:t xml:space="preserve">a mortalité néonatale précoce a </w:t>
      </w:r>
      <w:r w:rsidR="003F035B">
        <w:rPr>
          <w:rFonts w:asciiTheme="minorHAnsi" w:hAnsiTheme="minorHAnsi" w:cstheme="majorBidi"/>
          <w:position w:val="-6"/>
          <w:sz w:val="24"/>
          <w:szCs w:val="24"/>
        </w:rPr>
        <w:t xml:space="preserve">représenté </w:t>
      </w:r>
      <w:r w:rsidRPr="00036D26">
        <w:rPr>
          <w:rFonts w:asciiTheme="minorHAnsi" w:hAnsiTheme="minorHAnsi" w:cstheme="majorBidi"/>
          <w:position w:val="-6"/>
          <w:sz w:val="24"/>
          <w:szCs w:val="24"/>
        </w:rPr>
        <w:t xml:space="preserve">trois </w:t>
      </w:r>
      <w:r w:rsidR="00A56EE9">
        <w:rPr>
          <w:rFonts w:asciiTheme="minorHAnsi" w:hAnsiTheme="minorHAnsi" w:cstheme="majorBidi"/>
          <w:position w:val="-6"/>
          <w:sz w:val="24"/>
          <w:szCs w:val="24"/>
        </w:rPr>
        <w:t>quarts</w:t>
      </w:r>
      <w:r w:rsidR="003F035B">
        <w:rPr>
          <w:rFonts w:asciiTheme="minorHAnsi" w:hAnsiTheme="minorHAnsi" w:cstheme="majorBidi"/>
          <w:position w:val="-6"/>
          <w:sz w:val="24"/>
          <w:szCs w:val="24"/>
        </w:rPr>
        <w:t xml:space="preserve"> soit </w:t>
      </w:r>
      <w:r w:rsidR="003F035B" w:rsidRPr="00036D26">
        <w:rPr>
          <w:rFonts w:asciiTheme="minorHAnsi" w:hAnsiTheme="minorHAnsi" w:cstheme="majorBidi"/>
          <w:position w:val="-6"/>
          <w:sz w:val="24"/>
          <w:szCs w:val="24"/>
        </w:rPr>
        <w:t>7</w:t>
      </w:r>
      <w:r w:rsidR="003F035B">
        <w:rPr>
          <w:rFonts w:asciiTheme="minorHAnsi" w:hAnsiTheme="minorHAnsi" w:cstheme="majorBidi"/>
          <w:position w:val="-6"/>
          <w:sz w:val="24"/>
          <w:szCs w:val="24"/>
        </w:rPr>
        <w:t>6</w:t>
      </w:r>
      <w:r w:rsidR="003F035B" w:rsidRPr="00036D26">
        <w:rPr>
          <w:rFonts w:asciiTheme="minorHAnsi" w:hAnsiTheme="minorHAnsi" w:cstheme="majorBidi"/>
          <w:position w:val="-6"/>
          <w:sz w:val="24"/>
          <w:szCs w:val="24"/>
        </w:rPr>
        <w:t>.</w:t>
      </w:r>
      <w:r w:rsidR="001F7EF9">
        <w:rPr>
          <w:rFonts w:asciiTheme="minorHAnsi" w:hAnsiTheme="minorHAnsi" w:cstheme="majorBidi"/>
          <w:position w:val="-6"/>
          <w:sz w:val="24"/>
          <w:szCs w:val="24"/>
        </w:rPr>
        <w:t>9</w:t>
      </w:r>
      <w:r w:rsidR="003F035B" w:rsidRPr="00036D26">
        <w:rPr>
          <w:rFonts w:asciiTheme="minorHAnsi" w:hAnsiTheme="minorHAnsi" w:cstheme="majorBidi"/>
          <w:position w:val="-6"/>
          <w:sz w:val="24"/>
          <w:szCs w:val="24"/>
        </w:rPr>
        <w:t xml:space="preserve">% </w:t>
      </w:r>
      <w:r w:rsidR="00A56EE9">
        <w:rPr>
          <w:rFonts w:asciiTheme="minorHAnsi" w:hAnsiTheme="minorHAnsi" w:cstheme="majorBidi"/>
          <w:position w:val="-6"/>
          <w:sz w:val="24"/>
          <w:szCs w:val="24"/>
        </w:rPr>
        <w:t xml:space="preserve"> de</w:t>
      </w:r>
      <w:r w:rsidRPr="00036D26">
        <w:rPr>
          <w:rFonts w:asciiTheme="minorHAnsi" w:hAnsiTheme="minorHAnsi" w:cstheme="majorBidi"/>
          <w:position w:val="-6"/>
          <w:sz w:val="24"/>
          <w:szCs w:val="24"/>
        </w:rPr>
        <w:t xml:space="preserve"> l’ensemble des décès néonataux.</w:t>
      </w:r>
    </w:p>
    <w:p w:rsidR="00673A47" w:rsidRPr="00802190" w:rsidRDefault="00673A47" w:rsidP="00673A47">
      <w:pPr>
        <w:ind w:right="180"/>
        <w:jc w:val="both"/>
        <w:rPr>
          <w:rFonts w:asciiTheme="minorHAnsi" w:hAnsiTheme="minorHAnsi" w:cstheme="majorBidi"/>
          <w:position w:val="-6"/>
          <w:sz w:val="12"/>
          <w:szCs w:val="12"/>
        </w:rPr>
      </w:pPr>
    </w:p>
    <w:p w:rsidR="00EB1AD8" w:rsidRPr="00802190" w:rsidRDefault="00450090" w:rsidP="001F7EF9">
      <w:pPr>
        <w:ind w:right="180"/>
        <w:jc w:val="center"/>
        <w:rPr>
          <w:rFonts w:asciiTheme="minorHAnsi" w:hAnsiTheme="minorHAnsi" w:cstheme="majorBidi"/>
          <w:position w:val="-6"/>
          <w:sz w:val="24"/>
          <w:szCs w:val="24"/>
        </w:rPr>
      </w:pPr>
      <w:r w:rsidRPr="00802190">
        <w:rPr>
          <w:rFonts w:asciiTheme="minorHAnsi" w:hAnsiTheme="minorHAnsi" w:cstheme="majorBidi"/>
          <w:b/>
          <w:bCs/>
          <w:position w:val="-6"/>
          <w:sz w:val="24"/>
          <w:szCs w:val="24"/>
          <w:u w:val="single"/>
        </w:rPr>
        <w:t>Tableau 4</w:t>
      </w:r>
      <w:r w:rsidRPr="00802190">
        <w:rPr>
          <w:rFonts w:asciiTheme="minorHAnsi" w:hAnsiTheme="minorHAnsi" w:cstheme="majorBidi"/>
          <w:position w:val="-6"/>
          <w:sz w:val="24"/>
          <w:szCs w:val="24"/>
          <w:u w:val="single"/>
        </w:rPr>
        <w:t>.</w:t>
      </w:r>
      <w:r w:rsidRPr="00802190">
        <w:rPr>
          <w:rFonts w:asciiTheme="minorHAnsi" w:hAnsiTheme="minorHAnsi" w:cstheme="majorBidi"/>
          <w:position w:val="-6"/>
          <w:sz w:val="24"/>
          <w:szCs w:val="24"/>
        </w:rPr>
        <w:t xml:space="preserve"> Répartition </w:t>
      </w:r>
      <w:r w:rsidR="00C549A2" w:rsidRPr="00802190">
        <w:rPr>
          <w:rFonts w:asciiTheme="minorHAnsi" w:hAnsiTheme="minorHAnsi" w:cstheme="majorBidi"/>
          <w:position w:val="-6"/>
          <w:sz w:val="24"/>
          <w:szCs w:val="24"/>
        </w:rPr>
        <w:t xml:space="preserve">des </w:t>
      </w:r>
      <w:r w:rsidR="001F7EF9">
        <w:rPr>
          <w:rFonts w:asciiTheme="minorHAnsi" w:hAnsiTheme="minorHAnsi" w:cstheme="majorBidi"/>
          <w:position w:val="-6"/>
          <w:sz w:val="24"/>
          <w:szCs w:val="24"/>
        </w:rPr>
        <w:t>304</w:t>
      </w:r>
      <w:r w:rsidR="00AD16D6" w:rsidRPr="00802190">
        <w:rPr>
          <w:rFonts w:asciiTheme="minorHAnsi" w:hAnsiTheme="minorHAnsi" w:cstheme="majorBidi"/>
          <w:position w:val="-6"/>
          <w:sz w:val="24"/>
          <w:szCs w:val="24"/>
        </w:rPr>
        <w:t xml:space="preserve"> décès néonataux survenus au CHU de Blida</w:t>
      </w:r>
    </w:p>
    <w:p w:rsidR="00AD16D6" w:rsidRPr="00802190" w:rsidRDefault="00AF3983" w:rsidP="006058B0">
      <w:pPr>
        <w:ind w:right="180"/>
        <w:jc w:val="center"/>
        <w:rPr>
          <w:rFonts w:asciiTheme="minorHAnsi" w:hAnsiTheme="minorHAnsi" w:cstheme="majorBidi"/>
          <w:position w:val="-6"/>
          <w:sz w:val="24"/>
          <w:szCs w:val="24"/>
        </w:rPr>
      </w:pPr>
      <w:r w:rsidRPr="00802190">
        <w:rPr>
          <w:rFonts w:asciiTheme="minorHAnsi" w:hAnsiTheme="minorHAnsi" w:cstheme="majorBidi"/>
          <w:position w:val="-6"/>
          <w:sz w:val="24"/>
          <w:szCs w:val="24"/>
        </w:rPr>
        <w:t>Selon</w:t>
      </w:r>
      <w:r w:rsidR="00450090" w:rsidRPr="00802190">
        <w:rPr>
          <w:rFonts w:asciiTheme="minorHAnsi" w:hAnsiTheme="minorHAnsi" w:cstheme="majorBidi"/>
          <w:position w:val="-6"/>
          <w:sz w:val="24"/>
          <w:szCs w:val="24"/>
        </w:rPr>
        <w:t xml:space="preserve"> la cause </w:t>
      </w:r>
      <w:r w:rsidR="00673A47" w:rsidRPr="00802190">
        <w:rPr>
          <w:rFonts w:asciiTheme="minorHAnsi" w:hAnsiTheme="minorHAnsi" w:cstheme="majorBidi"/>
          <w:position w:val="-6"/>
          <w:sz w:val="24"/>
          <w:szCs w:val="24"/>
        </w:rPr>
        <w:t xml:space="preserve">du décès </w:t>
      </w:r>
      <w:r w:rsidR="00450090" w:rsidRPr="00802190">
        <w:rPr>
          <w:rFonts w:asciiTheme="minorHAnsi" w:hAnsiTheme="minorHAnsi" w:cstheme="majorBidi"/>
          <w:position w:val="-6"/>
          <w:sz w:val="24"/>
          <w:szCs w:val="24"/>
        </w:rPr>
        <w:t xml:space="preserve">(année </w:t>
      </w:r>
      <w:r w:rsidRPr="00802190">
        <w:rPr>
          <w:rFonts w:asciiTheme="minorHAnsi" w:hAnsiTheme="minorHAnsi" w:cstheme="majorBidi"/>
          <w:position w:val="-6"/>
          <w:sz w:val="24"/>
          <w:szCs w:val="24"/>
        </w:rPr>
        <w:t>201</w:t>
      </w:r>
      <w:r w:rsidR="001F7EF9">
        <w:rPr>
          <w:rFonts w:asciiTheme="minorHAnsi" w:hAnsiTheme="minorHAnsi" w:cstheme="majorBidi"/>
          <w:position w:val="-6"/>
          <w:sz w:val="24"/>
          <w:szCs w:val="24"/>
        </w:rPr>
        <w:t>8</w:t>
      </w:r>
      <w:r w:rsidR="00AD16D6" w:rsidRPr="00802190">
        <w:rPr>
          <w:rFonts w:asciiTheme="minorHAnsi" w:hAnsiTheme="minorHAnsi" w:cstheme="majorBidi"/>
          <w:position w:val="-6"/>
          <w:sz w:val="24"/>
          <w:szCs w:val="24"/>
        </w:rPr>
        <w:t>).</w:t>
      </w:r>
    </w:p>
    <w:p w:rsidR="00ED27FE" w:rsidRPr="00802190" w:rsidRDefault="00ED27FE" w:rsidP="00673A47">
      <w:pPr>
        <w:ind w:right="180"/>
        <w:rPr>
          <w:rFonts w:asciiTheme="minorHAnsi" w:hAnsiTheme="minorHAnsi" w:cstheme="majorBidi"/>
          <w:b/>
          <w:bCs/>
          <w:position w:val="-6"/>
          <w:sz w:val="24"/>
          <w:szCs w:val="24"/>
        </w:rPr>
      </w:pPr>
    </w:p>
    <w:tbl>
      <w:tblPr>
        <w:tblStyle w:val="Listemoyenne2-Accent1"/>
        <w:tblW w:w="4574" w:type="pct"/>
        <w:tblLayout w:type="fixed"/>
        <w:tblLook w:val="04A0"/>
      </w:tblPr>
      <w:tblGrid>
        <w:gridCol w:w="2554"/>
        <w:gridCol w:w="1100"/>
        <w:gridCol w:w="991"/>
        <w:gridCol w:w="849"/>
        <w:gridCol w:w="1208"/>
        <w:gridCol w:w="1003"/>
        <w:gridCol w:w="1051"/>
      </w:tblGrid>
      <w:tr w:rsidR="00C20822" w:rsidRPr="003B562C" w:rsidTr="005E19A8">
        <w:trPr>
          <w:cnfStyle w:val="100000000000"/>
          <w:trHeight w:val="510"/>
        </w:trPr>
        <w:tc>
          <w:tcPr>
            <w:cnfStyle w:val="001000000100"/>
            <w:tcW w:w="1458" w:type="pct"/>
            <w:vMerge w:val="restart"/>
            <w:tcBorders>
              <w:top w:val="single" w:sz="4" w:space="0" w:color="auto"/>
              <w:left w:val="single" w:sz="4" w:space="0" w:color="auto"/>
              <w:bottom w:val="dotted" w:sz="4" w:space="0" w:color="auto"/>
            </w:tcBorders>
            <w:hideMark/>
          </w:tcPr>
          <w:p w:rsidR="003B562C" w:rsidRPr="003B562C" w:rsidRDefault="003B562C" w:rsidP="00A511C4">
            <w:pPr>
              <w:overflowPunct/>
              <w:autoSpaceDE/>
              <w:autoSpaceDN/>
              <w:adjustRightInd/>
              <w:jc w:val="center"/>
              <w:textAlignment w:val="auto"/>
              <w:rPr>
                <w:rFonts w:asciiTheme="minorHAnsi" w:hAnsiTheme="minorHAnsi"/>
                <w:position w:val="-6"/>
              </w:rPr>
            </w:pPr>
          </w:p>
        </w:tc>
        <w:tc>
          <w:tcPr>
            <w:tcW w:w="1194" w:type="pct"/>
            <w:gridSpan w:val="2"/>
            <w:tcBorders>
              <w:top w:val="single" w:sz="4" w:space="0" w:color="auto"/>
              <w:bottom w:val="dotted" w:sz="4" w:space="0" w:color="auto"/>
            </w:tcBorders>
            <w:hideMark/>
          </w:tcPr>
          <w:p w:rsidR="003B562C" w:rsidRPr="003B562C" w:rsidRDefault="003B562C" w:rsidP="00A511C4">
            <w:pPr>
              <w:overflowPunct/>
              <w:autoSpaceDE/>
              <w:autoSpaceDN/>
              <w:adjustRightInd/>
              <w:jc w:val="center"/>
              <w:textAlignment w:val="auto"/>
              <w:cnfStyle w:val="100000000000"/>
              <w:rPr>
                <w:rFonts w:asciiTheme="minorHAnsi" w:hAnsiTheme="minorHAnsi"/>
                <w:position w:val="-6"/>
              </w:rPr>
            </w:pPr>
            <w:r w:rsidRPr="003B562C">
              <w:rPr>
                <w:rFonts w:asciiTheme="minorHAnsi" w:hAnsiTheme="minorHAnsi"/>
                <w:position w:val="-6"/>
              </w:rPr>
              <w:t>Mortalité néonatale précoce (0-6 jours)</w:t>
            </w:r>
          </w:p>
        </w:tc>
        <w:tc>
          <w:tcPr>
            <w:tcW w:w="1175" w:type="pct"/>
            <w:gridSpan w:val="2"/>
            <w:tcBorders>
              <w:top w:val="single" w:sz="4" w:space="0" w:color="auto"/>
              <w:bottom w:val="dotted" w:sz="4" w:space="0" w:color="auto"/>
            </w:tcBorders>
            <w:hideMark/>
          </w:tcPr>
          <w:p w:rsidR="003B562C" w:rsidRPr="003B562C" w:rsidRDefault="003B562C" w:rsidP="00A511C4">
            <w:pPr>
              <w:overflowPunct/>
              <w:autoSpaceDE/>
              <w:autoSpaceDN/>
              <w:adjustRightInd/>
              <w:jc w:val="center"/>
              <w:textAlignment w:val="auto"/>
              <w:cnfStyle w:val="100000000000"/>
              <w:rPr>
                <w:rFonts w:asciiTheme="minorHAnsi" w:hAnsiTheme="minorHAnsi"/>
                <w:position w:val="-6"/>
              </w:rPr>
            </w:pPr>
            <w:r w:rsidRPr="003B562C">
              <w:rPr>
                <w:rFonts w:asciiTheme="minorHAnsi" w:hAnsiTheme="minorHAnsi"/>
                <w:position w:val="-6"/>
              </w:rPr>
              <w:t>Mortalité néonatale tardive (7-28 jours)</w:t>
            </w:r>
          </w:p>
        </w:tc>
        <w:tc>
          <w:tcPr>
            <w:tcW w:w="1173" w:type="pct"/>
            <w:gridSpan w:val="2"/>
            <w:tcBorders>
              <w:top w:val="single" w:sz="4" w:space="0" w:color="auto"/>
              <w:bottom w:val="dotted" w:sz="4" w:space="0" w:color="auto"/>
              <w:right w:val="single" w:sz="4" w:space="0" w:color="auto"/>
            </w:tcBorders>
            <w:hideMark/>
          </w:tcPr>
          <w:p w:rsidR="003B562C" w:rsidRPr="003B562C" w:rsidRDefault="003B562C" w:rsidP="00A511C4">
            <w:pPr>
              <w:overflowPunct/>
              <w:autoSpaceDE/>
              <w:autoSpaceDN/>
              <w:adjustRightInd/>
              <w:jc w:val="center"/>
              <w:textAlignment w:val="auto"/>
              <w:cnfStyle w:val="100000000000"/>
              <w:rPr>
                <w:rFonts w:asciiTheme="minorHAnsi" w:hAnsiTheme="minorHAnsi"/>
                <w:position w:val="-6"/>
              </w:rPr>
            </w:pPr>
            <w:r w:rsidRPr="003B562C">
              <w:rPr>
                <w:rFonts w:asciiTheme="minorHAnsi" w:hAnsiTheme="minorHAnsi"/>
                <w:position w:val="-6"/>
              </w:rPr>
              <w:t>Ensemble</w:t>
            </w:r>
          </w:p>
        </w:tc>
      </w:tr>
      <w:tr w:rsidR="00C20822" w:rsidRPr="003B562C" w:rsidTr="005E19A8">
        <w:trPr>
          <w:cnfStyle w:val="000000100000"/>
          <w:trHeight w:val="315"/>
        </w:trPr>
        <w:tc>
          <w:tcPr>
            <w:cnfStyle w:val="001000000000"/>
            <w:tcW w:w="1458" w:type="pct"/>
            <w:vMerge/>
            <w:tcBorders>
              <w:top w:val="dotted" w:sz="4" w:space="0" w:color="auto"/>
              <w:left w:val="single" w:sz="4" w:space="0" w:color="auto"/>
              <w:bottom w:val="dotted" w:sz="4" w:space="0" w:color="auto"/>
            </w:tcBorders>
            <w:hideMark/>
          </w:tcPr>
          <w:p w:rsidR="003B562C" w:rsidRPr="003B562C" w:rsidRDefault="003B562C" w:rsidP="00A511C4">
            <w:pPr>
              <w:overflowPunct/>
              <w:autoSpaceDE/>
              <w:autoSpaceDN/>
              <w:adjustRightInd/>
              <w:jc w:val="center"/>
              <w:textAlignment w:val="auto"/>
              <w:rPr>
                <w:rFonts w:asciiTheme="minorHAnsi" w:hAnsiTheme="minorHAnsi"/>
                <w:position w:val="-6"/>
                <w:sz w:val="24"/>
                <w:szCs w:val="24"/>
              </w:rPr>
            </w:pPr>
          </w:p>
        </w:tc>
        <w:tc>
          <w:tcPr>
            <w:tcW w:w="628" w:type="pct"/>
            <w:tcBorders>
              <w:top w:val="dotted" w:sz="4" w:space="0" w:color="auto"/>
              <w:bottom w:val="dotted" w:sz="4" w:space="0" w:color="auto"/>
            </w:tcBorders>
            <w:hideMark/>
          </w:tcPr>
          <w:p w:rsidR="003B562C" w:rsidRPr="00C20822" w:rsidRDefault="003B562C" w:rsidP="00A511C4">
            <w:pPr>
              <w:overflowPunct/>
              <w:autoSpaceDE/>
              <w:autoSpaceDN/>
              <w:adjustRightInd/>
              <w:jc w:val="center"/>
              <w:textAlignment w:val="auto"/>
              <w:cnfStyle w:val="000000100000"/>
              <w:rPr>
                <w:rFonts w:asciiTheme="minorHAnsi" w:hAnsiTheme="minorHAnsi"/>
                <w:position w:val="-6"/>
              </w:rPr>
            </w:pPr>
            <w:r w:rsidRPr="00C20822">
              <w:rPr>
                <w:rFonts w:asciiTheme="minorHAnsi" w:hAnsiTheme="minorHAnsi"/>
                <w:position w:val="-6"/>
              </w:rPr>
              <w:t>Effectif</w:t>
            </w:r>
          </w:p>
        </w:tc>
        <w:tc>
          <w:tcPr>
            <w:tcW w:w="566" w:type="pct"/>
            <w:tcBorders>
              <w:top w:val="dotted" w:sz="4" w:space="0" w:color="auto"/>
              <w:bottom w:val="dotted" w:sz="4" w:space="0" w:color="auto"/>
            </w:tcBorders>
            <w:hideMark/>
          </w:tcPr>
          <w:p w:rsidR="003B562C" w:rsidRPr="00C20822" w:rsidRDefault="003B562C" w:rsidP="00A511C4">
            <w:pPr>
              <w:overflowPunct/>
              <w:autoSpaceDE/>
              <w:autoSpaceDN/>
              <w:adjustRightInd/>
              <w:jc w:val="center"/>
              <w:textAlignment w:val="auto"/>
              <w:cnfStyle w:val="000000100000"/>
              <w:rPr>
                <w:rFonts w:asciiTheme="minorHAnsi" w:hAnsiTheme="minorHAnsi"/>
                <w:position w:val="-6"/>
              </w:rPr>
            </w:pPr>
            <w:r w:rsidRPr="00C20822">
              <w:rPr>
                <w:rFonts w:asciiTheme="minorHAnsi" w:hAnsiTheme="minorHAnsi"/>
                <w:position w:val="-6"/>
              </w:rPr>
              <w:t>%</w:t>
            </w:r>
          </w:p>
        </w:tc>
        <w:tc>
          <w:tcPr>
            <w:tcW w:w="485" w:type="pct"/>
            <w:tcBorders>
              <w:top w:val="dotted" w:sz="4" w:space="0" w:color="auto"/>
              <w:bottom w:val="dotted" w:sz="4" w:space="0" w:color="auto"/>
            </w:tcBorders>
            <w:hideMark/>
          </w:tcPr>
          <w:p w:rsidR="003B562C" w:rsidRPr="00C20822" w:rsidRDefault="003B562C" w:rsidP="00A511C4">
            <w:pPr>
              <w:overflowPunct/>
              <w:autoSpaceDE/>
              <w:autoSpaceDN/>
              <w:adjustRightInd/>
              <w:jc w:val="center"/>
              <w:textAlignment w:val="auto"/>
              <w:cnfStyle w:val="000000100000"/>
              <w:rPr>
                <w:rFonts w:asciiTheme="minorHAnsi" w:hAnsiTheme="minorHAnsi"/>
                <w:position w:val="-6"/>
              </w:rPr>
            </w:pPr>
            <w:r w:rsidRPr="00C20822">
              <w:rPr>
                <w:rFonts w:asciiTheme="minorHAnsi" w:hAnsiTheme="minorHAnsi"/>
                <w:position w:val="-6"/>
              </w:rPr>
              <w:t>Effectif</w:t>
            </w:r>
          </w:p>
        </w:tc>
        <w:tc>
          <w:tcPr>
            <w:tcW w:w="690" w:type="pct"/>
            <w:tcBorders>
              <w:top w:val="dotted" w:sz="4" w:space="0" w:color="auto"/>
              <w:bottom w:val="dotted" w:sz="4" w:space="0" w:color="auto"/>
            </w:tcBorders>
            <w:hideMark/>
          </w:tcPr>
          <w:p w:rsidR="003B562C" w:rsidRPr="00C20822" w:rsidRDefault="003B562C" w:rsidP="00A511C4">
            <w:pPr>
              <w:overflowPunct/>
              <w:autoSpaceDE/>
              <w:autoSpaceDN/>
              <w:adjustRightInd/>
              <w:jc w:val="center"/>
              <w:textAlignment w:val="auto"/>
              <w:cnfStyle w:val="000000100000"/>
              <w:rPr>
                <w:rFonts w:asciiTheme="minorHAnsi" w:hAnsiTheme="minorHAnsi"/>
                <w:position w:val="-6"/>
              </w:rPr>
            </w:pPr>
            <w:r w:rsidRPr="00C20822">
              <w:rPr>
                <w:rFonts w:asciiTheme="minorHAnsi" w:hAnsiTheme="minorHAnsi"/>
                <w:position w:val="-6"/>
              </w:rPr>
              <w:t>%</w:t>
            </w:r>
          </w:p>
        </w:tc>
        <w:tc>
          <w:tcPr>
            <w:tcW w:w="573" w:type="pct"/>
            <w:tcBorders>
              <w:top w:val="dotted" w:sz="4" w:space="0" w:color="auto"/>
              <w:bottom w:val="dotted" w:sz="4" w:space="0" w:color="auto"/>
            </w:tcBorders>
            <w:hideMark/>
          </w:tcPr>
          <w:p w:rsidR="003B562C" w:rsidRPr="00C20822" w:rsidRDefault="003B562C" w:rsidP="00A511C4">
            <w:pPr>
              <w:overflowPunct/>
              <w:autoSpaceDE/>
              <w:autoSpaceDN/>
              <w:adjustRightInd/>
              <w:jc w:val="center"/>
              <w:textAlignment w:val="auto"/>
              <w:cnfStyle w:val="000000100000"/>
              <w:rPr>
                <w:rFonts w:asciiTheme="minorHAnsi" w:hAnsiTheme="minorHAnsi"/>
                <w:position w:val="-6"/>
              </w:rPr>
            </w:pPr>
            <w:r w:rsidRPr="00C20822">
              <w:rPr>
                <w:rFonts w:asciiTheme="minorHAnsi" w:hAnsiTheme="minorHAnsi"/>
                <w:position w:val="-6"/>
              </w:rPr>
              <w:t>Effectif</w:t>
            </w:r>
          </w:p>
        </w:tc>
        <w:tc>
          <w:tcPr>
            <w:tcW w:w="600" w:type="pct"/>
            <w:tcBorders>
              <w:top w:val="dotted" w:sz="4" w:space="0" w:color="auto"/>
              <w:bottom w:val="dotted" w:sz="4" w:space="0" w:color="auto"/>
              <w:right w:val="single" w:sz="4" w:space="0" w:color="auto"/>
            </w:tcBorders>
            <w:hideMark/>
          </w:tcPr>
          <w:p w:rsidR="003B562C" w:rsidRPr="00C20822" w:rsidRDefault="003B562C" w:rsidP="00A511C4">
            <w:pPr>
              <w:overflowPunct/>
              <w:autoSpaceDE/>
              <w:autoSpaceDN/>
              <w:adjustRightInd/>
              <w:jc w:val="center"/>
              <w:textAlignment w:val="auto"/>
              <w:cnfStyle w:val="000000100000"/>
              <w:rPr>
                <w:rFonts w:asciiTheme="minorHAnsi" w:hAnsiTheme="minorHAnsi"/>
                <w:position w:val="-6"/>
              </w:rPr>
            </w:pPr>
            <w:r w:rsidRPr="00C20822">
              <w:rPr>
                <w:rFonts w:asciiTheme="minorHAnsi" w:hAnsiTheme="minorHAnsi"/>
                <w:position w:val="-6"/>
              </w:rPr>
              <w:t>%</w:t>
            </w:r>
          </w:p>
        </w:tc>
      </w:tr>
      <w:tr w:rsidR="00C20822" w:rsidRPr="00C20822" w:rsidTr="005E19A8">
        <w:trPr>
          <w:trHeight w:val="363"/>
        </w:trPr>
        <w:tc>
          <w:tcPr>
            <w:cnfStyle w:val="001000000000"/>
            <w:tcW w:w="1458" w:type="pct"/>
            <w:tcBorders>
              <w:top w:val="dotted" w:sz="4" w:space="0" w:color="auto"/>
              <w:left w:val="single" w:sz="4" w:space="0" w:color="auto"/>
              <w:bottom w:val="dotted" w:sz="4" w:space="0" w:color="auto"/>
            </w:tcBorders>
          </w:tcPr>
          <w:p w:rsidR="00C20822" w:rsidRPr="00C20822" w:rsidRDefault="00C20822" w:rsidP="003B562C">
            <w:pPr>
              <w:spacing w:line="320" w:lineRule="atLeast"/>
              <w:ind w:left="60" w:right="60"/>
              <w:rPr>
                <w:rFonts w:asciiTheme="minorHAnsi" w:hAnsiTheme="minorHAnsi" w:cs="Arial"/>
                <w:color w:val="000000"/>
                <w:sz w:val="24"/>
                <w:szCs w:val="24"/>
              </w:rPr>
            </w:pPr>
            <w:r w:rsidRPr="00C20822">
              <w:rPr>
                <w:rFonts w:asciiTheme="minorHAnsi" w:hAnsiTheme="minorHAnsi" w:cs="Arial"/>
                <w:color w:val="000000"/>
                <w:sz w:val="24"/>
                <w:szCs w:val="24"/>
              </w:rPr>
              <w:t>Brièveté de la gestation et poids insuffisant à la naissance</w:t>
            </w:r>
          </w:p>
        </w:tc>
        <w:tc>
          <w:tcPr>
            <w:tcW w:w="628"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130</w:t>
            </w:r>
          </w:p>
        </w:tc>
        <w:tc>
          <w:tcPr>
            <w:tcW w:w="566"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55,6</w:t>
            </w:r>
          </w:p>
        </w:tc>
        <w:tc>
          <w:tcPr>
            <w:tcW w:w="485"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28</w:t>
            </w:r>
          </w:p>
        </w:tc>
        <w:tc>
          <w:tcPr>
            <w:tcW w:w="690"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40,0</w:t>
            </w:r>
          </w:p>
        </w:tc>
        <w:tc>
          <w:tcPr>
            <w:tcW w:w="573"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158</w:t>
            </w:r>
          </w:p>
        </w:tc>
        <w:tc>
          <w:tcPr>
            <w:tcW w:w="600" w:type="pct"/>
            <w:tcBorders>
              <w:top w:val="dotted" w:sz="4" w:space="0" w:color="auto"/>
              <w:bottom w:val="dotted" w:sz="4" w:space="0" w:color="auto"/>
              <w:right w:val="single"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52,0</w:t>
            </w:r>
          </w:p>
        </w:tc>
      </w:tr>
      <w:tr w:rsidR="00C20822" w:rsidRPr="00C20822" w:rsidTr="005E19A8">
        <w:trPr>
          <w:cnfStyle w:val="000000100000"/>
          <w:trHeight w:val="542"/>
        </w:trPr>
        <w:tc>
          <w:tcPr>
            <w:cnfStyle w:val="001000000000"/>
            <w:tcW w:w="1458" w:type="pct"/>
            <w:tcBorders>
              <w:top w:val="dotted" w:sz="4" w:space="0" w:color="auto"/>
              <w:left w:val="single" w:sz="4" w:space="0" w:color="auto"/>
              <w:bottom w:val="dotted" w:sz="4" w:space="0" w:color="auto"/>
            </w:tcBorders>
          </w:tcPr>
          <w:p w:rsidR="00C20822" w:rsidRPr="00C20822" w:rsidRDefault="00C20822" w:rsidP="003B562C">
            <w:pPr>
              <w:spacing w:line="320" w:lineRule="atLeast"/>
              <w:ind w:left="60" w:right="60"/>
              <w:rPr>
                <w:rFonts w:asciiTheme="minorHAnsi" w:hAnsiTheme="minorHAnsi" w:cs="Arial"/>
                <w:color w:val="000000"/>
                <w:sz w:val="24"/>
                <w:szCs w:val="24"/>
              </w:rPr>
            </w:pPr>
            <w:r w:rsidRPr="00C20822">
              <w:rPr>
                <w:rFonts w:asciiTheme="minorHAnsi" w:hAnsiTheme="minorHAnsi" w:cs="Arial"/>
                <w:color w:val="000000"/>
                <w:sz w:val="24"/>
                <w:szCs w:val="24"/>
              </w:rPr>
              <w:t>Affections respiratoires et cardiovasculaires</w:t>
            </w:r>
          </w:p>
        </w:tc>
        <w:tc>
          <w:tcPr>
            <w:tcW w:w="628"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58</w:t>
            </w:r>
          </w:p>
        </w:tc>
        <w:tc>
          <w:tcPr>
            <w:tcW w:w="566"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24,8</w:t>
            </w:r>
          </w:p>
        </w:tc>
        <w:tc>
          <w:tcPr>
            <w:tcW w:w="485"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12</w:t>
            </w:r>
          </w:p>
        </w:tc>
        <w:tc>
          <w:tcPr>
            <w:tcW w:w="690"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17,1</w:t>
            </w:r>
          </w:p>
        </w:tc>
        <w:tc>
          <w:tcPr>
            <w:tcW w:w="573"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70</w:t>
            </w:r>
          </w:p>
        </w:tc>
        <w:tc>
          <w:tcPr>
            <w:tcW w:w="600" w:type="pct"/>
            <w:tcBorders>
              <w:top w:val="dotted" w:sz="4" w:space="0" w:color="auto"/>
              <w:bottom w:val="dotted" w:sz="4" w:space="0" w:color="auto"/>
              <w:right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23,0</w:t>
            </w:r>
          </w:p>
        </w:tc>
      </w:tr>
      <w:tr w:rsidR="00C20822" w:rsidRPr="00C20822" w:rsidTr="005E19A8">
        <w:trPr>
          <w:trHeight w:val="341"/>
        </w:trPr>
        <w:tc>
          <w:tcPr>
            <w:cnfStyle w:val="001000000000"/>
            <w:tcW w:w="1458" w:type="pct"/>
            <w:tcBorders>
              <w:top w:val="dotted" w:sz="4" w:space="0" w:color="auto"/>
              <w:left w:val="single" w:sz="4" w:space="0" w:color="auto"/>
              <w:bottom w:val="dotted" w:sz="4" w:space="0" w:color="auto"/>
            </w:tcBorders>
          </w:tcPr>
          <w:p w:rsidR="00C20822" w:rsidRPr="00C20822" w:rsidRDefault="00C20822" w:rsidP="003B562C">
            <w:pPr>
              <w:spacing w:line="320" w:lineRule="atLeast"/>
              <w:ind w:left="60" w:right="60"/>
              <w:rPr>
                <w:rFonts w:asciiTheme="minorHAnsi" w:hAnsiTheme="minorHAnsi" w:cs="Arial"/>
                <w:color w:val="000000"/>
                <w:sz w:val="24"/>
                <w:szCs w:val="24"/>
              </w:rPr>
            </w:pPr>
            <w:r w:rsidRPr="00C20822">
              <w:rPr>
                <w:rFonts w:asciiTheme="minorHAnsi" w:hAnsiTheme="minorHAnsi" w:cs="Arial"/>
                <w:color w:val="000000"/>
                <w:sz w:val="24"/>
                <w:szCs w:val="24"/>
              </w:rPr>
              <w:t>Anomalies congénitales</w:t>
            </w:r>
          </w:p>
        </w:tc>
        <w:tc>
          <w:tcPr>
            <w:tcW w:w="628"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34</w:t>
            </w:r>
          </w:p>
        </w:tc>
        <w:tc>
          <w:tcPr>
            <w:tcW w:w="566"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14,5</w:t>
            </w:r>
          </w:p>
        </w:tc>
        <w:tc>
          <w:tcPr>
            <w:tcW w:w="485"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17</w:t>
            </w:r>
          </w:p>
        </w:tc>
        <w:tc>
          <w:tcPr>
            <w:tcW w:w="690"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24,3</w:t>
            </w:r>
          </w:p>
        </w:tc>
        <w:tc>
          <w:tcPr>
            <w:tcW w:w="573"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51</w:t>
            </w:r>
          </w:p>
        </w:tc>
        <w:tc>
          <w:tcPr>
            <w:tcW w:w="600" w:type="pct"/>
            <w:tcBorders>
              <w:top w:val="dotted" w:sz="4" w:space="0" w:color="auto"/>
              <w:bottom w:val="dotted" w:sz="4" w:space="0" w:color="auto"/>
              <w:right w:val="single"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16,8</w:t>
            </w:r>
          </w:p>
        </w:tc>
      </w:tr>
      <w:tr w:rsidR="00C20822" w:rsidRPr="00C20822" w:rsidTr="005E19A8">
        <w:trPr>
          <w:cnfStyle w:val="000000100000"/>
          <w:trHeight w:val="465"/>
        </w:trPr>
        <w:tc>
          <w:tcPr>
            <w:cnfStyle w:val="001000000000"/>
            <w:tcW w:w="1458" w:type="pct"/>
            <w:tcBorders>
              <w:top w:val="dotted" w:sz="4" w:space="0" w:color="auto"/>
              <w:left w:val="single" w:sz="4" w:space="0" w:color="auto"/>
              <w:bottom w:val="dotted" w:sz="4" w:space="0" w:color="auto"/>
            </w:tcBorders>
          </w:tcPr>
          <w:p w:rsidR="00C20822" w:rsidRPr="00C20822" w:rsidRDefault="00C20822" w:rsidP="00C20822">
            <w:pPr>
              <w:spacing w:line="320" w:lineRule="atLeast"/>
              <w:ind w:left="60" w:right="60"/>
              <w:rPr>
                <w:rFonts w:asciiTheme="minorHAnsi" w:hAnsiTheme="minorHAnsi" w:cs="Arial"/>
                <w:color w:val="000000"/>
                <w:sz w:val="24"/>
                <w:szCs w:val="24"/>
              </w:rPr>
            </w:pPr>
            <w:r w:rsidRPr="00C20822">
              <w:rPr>
                <w:rFonts w:asciiTheme="minorHAnsi" w:hAnsiTheme="minorHAnsi" w:cs="Arial"/>
                <w:color w:val="000000"/>
                <w:sz w:val="24"/>
                <w:szCs w:val="24"/>
              </w:rPr>
              <w:t>Affections de l’appareil digestif</w:t>
            </w:r>
          </w:p>
        </w:tc>
        <w:tc>
          <w:tcPr>
            <w:tcW w:w="628"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7</w:t>
            </w:r>
          </w:p>
        </w:tc>
        <w:tc>
          <w:tcPr>
            <w:tcW w:w="566"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3,0</w:t>
            </w:r>
          </w:p>
        </w:tc>
        <w:tc>
          <w:tcPr>
            <w:tcW w:w="485"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5</w:t>
            </w:r>
          </w:p>
        </w:tc>
        <w:tc>
          <w:tcPr>
            <w:tcW w:w="690"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7,1</w:t>
            </w:r>
          </w:p>
        </w:tc>
        <w:tc>
          <w:tcPr>
            <w:tcW w:w="573"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12</w:t>
            </w:r>
          </w:p>
        </w:tc>
        <w:tc>
          <w:tcPr>
            <w:tcW w:w="600" w:type="pct"/>
            <w:tcBorders>
              <w:top w:val="dotted" w:sz="4" w:space="0" w:color="auto"/>
              <w:bottom w:val="dotted" w:sz="4" w:space="0" w:color="auto"/>
              <w:right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3,9</w:t>
            </w:r>
          </w:p>
        </w:tc>
      </w:tr>
      <w:tr w:rsidR="00C20822" w:rsidRPr="00C20822" w:rsidTr="005E19A8">
        <w:trPr>
          <w:trHeight w:val="367"/>
        </w:trPr>
        <w:tc>
          <w:tcPr>
            <w:cnfStyle w:val="001000000000"/>
            <w:tcW w:w="1458" w:type="pct"/>
            <w:tcBorders>
              <w:top w:val="dotted" w:sz="4" w:space="0" w:color="auto"/>
              <w:left w:val="single" w:sz="4" w:space="0" w:color="auto"/>
              <w:bottom w:val="dotted" w:sz="4" w:space="0" w:color="auto"/>
            </w:tcBorders>
          </w:tcPr>
          <w:p w:rsidR="00C20822" w:rsidRPr="00C20822" w:rsidRDefault="00C20822" w:rsidP="003B562C">
            <w:pPr>
              <w:spacing w:line="320" w:lineRule="atLeast"/>
              <w:ind w:left="60" w:right="60"/>
              <w:rPr>
                <w:rFonts w:asciiTheme="minorHAnsi" w:hAnsiTheme="minorHAnsi" w:cs="Arial"/>
                <w:color w:val="000000"/>
                <w:sz w:val="24"/>
                <w:szCs w:val="24"/>
              </w:rPr>
            </w:pPr>
            <w:r w:rsidRPr="00C20822">
              <w:rPr>
                <w:rFonts w:asciiTheme="minorHAnsi" w:hAnsiTheme="minorHAnsi" w:cs="Arial"/>
                <w:color w:val="000000"/>
                <w:sz w:val="24"/>
                <w:szCs w:val="24"/>
              </w:rPr>
              <w:t>Autres affections</w:t>
            </w:r>
          </w:p>
        </w:tc>
        <w:tc>
          <w:tcPr>
            <w:tcW w:w="628"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3</w:t>
            </w:r>
          </w:p>
        </w:tc>
        <w:tc>
          <w:tcPr>
            <w:tcW w:w="566"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1,3</w:t>
            </w:r>
          </w:p>
        </w:tc>
        <w:tc>
          <w:tcPr>
            <w:tcW w:w="485"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2</w:t>
            </w:r>
          </w:p>
        </w:tc>
        <w:tc>
          <w:tcPr>
            <w:tcW w:w="690"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2,9</w:t>
            </w:r>
          </w:p>
        </w:tc>
        <w:tc>
          <w:tcPr>
            <w:tcW w:w="573"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5</w:t>
            </w:r>
          </w:p>
        </w:tc>
        <w:tc>
          <w:tcPr>
            <w:tcW w:w="600" w:type="pct"/>
            <w:tcBorders>
              <w:top w:val="dotted" w:sz="4" w:space="0" w:color="auto"/>
              <w:bottom w:val="dotted" w:sz="4" w:space="0" w:color="auto"/>
              <w:right w:val="single"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1,6</w:t>
            </w:r>
          </w:p>
        </w:tc>
      </w:tr>
      <w:tr w:rsidR="00C20822" w:rsidRPr="00C20822" w:rsidTr="005E19A8">
        <w:trPr>
          <w:cnfStyle w:val="000000100000"/>
          <w:trHeight w:val="540"/>
        </w:trPr>
        <w:tc>
          <w:tcPr>
            <w:cnfStyle w:val="001000000000"/>
            <w:tcW w:w="1458" w:type="pct"/>
            <w:tcBorders>
              <w:top w:val="dotted" w:sz="4" w:space="0" w:color="auto"/>
              <w:left w:val="single" w:sz="4" w:space="0" w:color="auto"/>
              <w:bottom w:val="dotted" w:sz="4" w:space="0" w:color="auto"/>
            </w:tcBorders>
          </w:tcPr>
          <w:p w:rsidR="00C20822" w:rsidRPr="00C20822" w:rsidRDefault="00C20822" w:rsidP="00C20822">
            <w:pPr>
              <w:spacing w:line="320" w:lineRule="atLeast"/>
              <w:ind w:left="60" w:right="60"/>
              <w:rPr>
                <w:rFonts w:asciiTheme="minorHAnsi" w:hAnsiTheme="minorHAnsi" w:cs="Arial"/>
                <w:color w:val="000000"/>
                <w:sz w:val="24"/>
                <w:szCs w:val="24"/>
              </w:rPr>
            </w:pPr>
            <w:r w:rsidRPr="00C20822">
              <w:rPr>
                <w:rFonts w:asciiTheme="minorHAnsi" w:hAnsiTheme="minorHAnsi" w:cs="Arial"/>
                <w:color w:val="000000"/>
                <w:sz w:val="24"/>
                <w:szCs w:val="24"/>
              </w:rPr>
              <w:t>Infections spécifiques de la période périnatale</w:t>
            </w:r>
          </w:p>
        </w:tc>
        <w:tc>
          <w:tcPr>
            <w:tcW w:w="628"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2</w:t>
            </w:r>
          </w:p>
        </w:tc>
        <w:tc>
          <w:tcPr>
            <w:tcW w:w="566"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0,9</w:t>
            </w:r>
          </w:p>
        </w:tc>
        <w:tc>
          <w:tcPr>
            <w:tcW w:w="485"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3</w:t>
            </w:r>
          </w:p>
        </w:tc>
        <w:tc>
          <w:tcPr>
            <w:tcW w:w="690"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4,3</w:t>
            </w:r>
          </w:p>
        </w:tc>
        <w:tc>
          <w:tcPr>
            <w:tcW w:w="573"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5</w:t>
            </w:r>
          </w:p>
        </w:tc>
        <w:tc>
          <w:tcPr>
            <w:tcW w:w="600" w:type="pct"/>
            <w:tcBorders>
              <w:top w:val="dotted" w:sz="4" w:space="0" w:color="auto"/>
              <w:bottom w:val="dotted" w:sz="4" w:space="0" w:color="auto"/>
              <w:right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1,6</w:t>
            </w:r>
          </w:p>
        </w:tc>
      </w:tr>
      <w:tr w:rsidR="00C20822" w:rsidRPr="00C20822" w:rsidTr="005E19A8">
        <w:trPr>
          <w:trHeight w:val="219"/>
        </w:trPr>
        <w:tc>
          <w:tcPr>
            <w:cnfStyle w:val="001000000000"/>
            <w:tcW w:w="1458" w:type="pct"/>
            <w:tcBorders>
              <w:top w:val="dotted" w:sz="4" w:space="0" w:color="auto"/>
              <w:left w:val="single" w:sz="4" w:space="0" w:color="auto"/>
              <w:bottom w:val="dotted" w:sz="4" w:space="0" w:color="auto"/>
            </w:tcBorders>
          </w:tcPr>
          <w:p w:rsidR="00C20822" w:rsidRPr="00C20822" w:rsidRDefault="00C20822" w:rsidP="003B562C">
            <w:pPr>
              <w:spacing w:line="320" w:lineRule="atLeast"/>
              <w:ind w:left="60" w:right="60"/>
              <w:rPr>
                <w:rFonts w:asciiTheme="minorHAnsi" w:hAnsiTheme="minorHAnsi" w:cs="Arial"/>
                <w:color w:val="000000"/>
                <w:sz w:val="24"/>
                <w:szCs w:val="24"/>
              </w:rPr>
            </w:pPr>
            <w:r w:rsidRPr="00C20822">
              <w:rPr>
                <w:rFonts w:asciiTheme="minorHAnsi" w:hAnsiTheme="minorHAnsi" w:cs="Arial"/>
                <w:color w:val="000000"/>
                <w:sz w:val="24"/>
                <w:szCs w:val="24"/>
              </w:rPr>
              <w:t>Anomalies endocriniennes et métaboliques</w:t>
            </w:r>
          </w:p>
        </w:tc>
        <w:tc>
          <w:tcPr>
            <w:tcW w:w="628"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0</w:t>
            </w:r>
          </w:p>
        </w:tc>
        <w:tc>
          <w:tcPr>
            <w:tcW w:w="566"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0,0</w:t>
            </w:r>
          </w:p>
        </w:tc>
        <w:tc>
          <w:tcPr>
            <w:tcW w:w="485"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3</w:t>
            </w:r>
          </w:p>
        </w:tc>
        <w:tc>
          <w:tcPr>
            <w:tcW w:w="690"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4,3</w:t>
            </w:r>
          </w:p>
        </w:tc>
        <w:tc>
          <w:tcPr>
            <w:tcW w:w="573" w:type="pct"/>
            <w:tcBorders>
              <w:top w:val="dotted" w:sz="4" w:space="0" w:color="auto"/>
              <w:bottom w:val="dotted"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3</w:t>
            </w:r>
          </w:p>
        </w:tc>
        <w:tc>
          <w:tcPr>
            <w:tcW w:w="600" w:type="pct"/>
            <w:tcBorders>
              <w:top w:val="dotted" w:sz="4" w:space="0" w:color="auto"/>
              <w:bottom w:val="dotted" w:sz="4" w:space="0" w:color="auto"/>
              <w:right w:val="single" w:sz="4" w:space="0" w:color="auto"/>
            </w:tcBorders>
          </w:tcPr>
          <w:p w:rsidR="00C20822" w:rsidRPr="004620D4" w:rsidRDefault="00C20822" w:rsidP="00BC5988">
            <w:pPr>
              <w:spacing w:line="320" w:lineRule="atLeast"/>
              <w:ind w:left="60" w:right="60"/>
              <w:jc w:val="right"/>
              <w:cnfStyle w:val="000000000000"/>
              <w:rPr>
                <w:rFonts w:asciiTheme="minorHAnsi" w:hAnsiTheme="minorHAnsi" w:cs="Arial"/>
                <w:color w:val="000000"/>
                <w:sz w:val="24"/>
                <w:szCs w:val="24"/>
              </w:rPr>
            </w:pPr>
            <w:r w:rsidRPr="004620D4">
              <w:rPr>
                <w:rFonts w:asciiTheme="minorHAnsi" w:hAnsiTheme="minorHAnsi" w:cs="Arial"/>
                <w:color w:val="000000"/>
                <w:sz w:val="24"/>
                <w:szCs w:val="24"/>
              </w:rPr>
              <w:t>1,0</w:t>
            </w:r>
          </w:p>
        </w:tc>
      </w:tr>
      <w:tr w:rsidR="00C20822" w:rsidRPr="00C20822" w:rsidTr="005E19A8">
        <w:trPr>
          <w:cnfStyle w:val="000000100000"/>
          <w:trHeight w:val="219"/>
        </w:trPr>
        <w:tc>
          <w:tcPr>
            <w:cnfStyle w:val="001000000000"/>
            <w:tcW w:w="1458" w:type="pct"/>
            <w:tcBorders>
              <w:top w:val="dotted" w:sz="4" w:space="0" w:color="auto"/>
              <w:left w:val="single" w:sz="4" w:space="0" w:color="auto"/>
              <w:bottom w:val="single" w:sz="4" w:space="0" w:color="auto"/>
            </w:tcBorders>
          </w:tcPr>
          <w:p w:rsidR="00C20822" w:rsidRPr="00C20822" w:rsidRDefault="00C20822" w:rsidP="003B562C">
            <w:pPr>
              <w:spacing w:line="320" w:lineRule="atLeast"/>
              <w:ind w:left="60" w:right="60"/>
              <w:rPr>
                <w:rFonts w:asciiTheme="minorHAnsi" w:hAnsiTheme="minorHAnsi" w:cs="Arial"/>
                <w:color w:val="000000"/>
                <w:sz w:val="24"/>
                <w:szCs w:val="24"/>
              </w:rPr>
            </w:pPr>
            <w:r w:rsidRPr="00C20822">
              <w:rPr>
                <w:rFonts w:asciiTheme="minorHAnsi" w:hAnsiTheme="minorHAnsi" w:cs="Arial"/>
                <w:color w:val="000000"/>
                <w:sz w:val="24"/>
                <w:szCs w:val="24"/>
              </w:rPr>
              <w:t>Total</w:t>
            </w:r>
          </w:p>
        </w:tc>
        <w:tc>
          <w:tcPr>
            <w:tcW w:w="628" w:type="pct"/>
            <w:tcBorders>
              <w:top w:val="dotted" w:sz="4" w:space="0" w:color="auto"/>
              <w:bottom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234</w:t>
            </w:r>
          </w:p>
        </w:tc>
        <w:tc>
          <w:tcPr>
            <w:tcW w:w="566" w:type="pct"/>
            <w:tcBorders>
              <w:top w:val="dotted" w:sz="4" w:space="0" w:color="auto"/>
              <w:bottom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100,0</w:t>
            </w:r>
          </w:p>
        </w:tc>
        <w:tc>
          <w:tcPr>
            <w:tcW w:w="485" w:type="pct"/>
            <w:tcBorders>
              <w:top w:val="dotted" w:sz="4" w:space="0" w:color="auto"/>
              <w:bottom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70</w:t>
            </w:r>
          </w:p>
        </w:tc>
        <w:tc>
          <w:tcPr>
            <w:tcW w:w="690" w:type="pct"/>
            <w:tcBorders>
              <w:top w:val="dotted" w:sz="4" w:space="0" w:color="auto"/>
              <w:bottom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100,0</w:t>
            </w:r>
          </w:p>
        </w:tc>
        <w:tc>
          <w:tcPr>
            <w:tcW w:w="573" w:type="pct"/>
            <w:tcBorders>
              <w:top w:val="dotted" w:sz="4" w:space="0" w:color="auto"/>
              <w:bottom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304</w:t>
            </w:r>
          </w:p>
        </w:tc>
        <w:tc>
          <w:tcPr>
            <w:tcW w:w="600" w:type="pct"/>
            <w:tcBorders>
              <w:top w:val="dotted" w:sz="4" w:space="0" w:color="auto"/>
              <w:bottom w:val="single" w:sz="4" w:space="0" w:color="auto"/>
              <w:right w:val="single" w:sz="4" w:space="0" w:color="auto"/>
            </w:tcBorders>
          </w:tcPr>
          <w:p w:rsidR="00C20822" w:rsidRPr="004620D4" w:rsidRDefault="00C20822" w:rsidP="00BC5988">
            <w:pPr>
              <w:spacing w:line="320" w:lineRule="atLeast"/>
              <w:ind w:left="60" w:right="60"/>
              <w:jc w:val="right"/>
              <w:cnfStyle w:val="000000100000"/>
              <w:rPr>
                <w:rFonts w:asciiTheme="minorHAnsi" w:hAnsiTheme="minorHAnsi" w:cs="Arial"/>
                <w:color w:val="000000"/>
                <w:sz w:val="24"/>
                <w:szCs w:val="24"/>
              </w:rPr>
            </w:pPr>
            <w:r w:rsidRPr="004620D4">
              <w:rPr>
                <w:rFonts w:asciiTheme="minorHAnsi" w:hAnsiTheme="minorHAnsi" w:cs="Arial"/>
                <w:color w:val="000000"/>
                <w:sz w:val="24"/>
                <w:szCs w:val="24"/>
              </w:rPr>
              <w:t>100,0</w:t>
            </w:r>
          </w:p>
        </w:tc>
      </w:tr>
    </w:tbl>
    <w:p w:rsidR="003E3D26" w:rsidRDefault="003E3D26" w:rsidP="00AD16D6">
      <w:pPr>
        <w:ind w:right="180"/>
        <w:rPr>
          <w:rFonts w:asciiTheme="minorHAnsi" w:hAnsiTheme="minorHAnsi" w:cstheme="majorBidi"/>
          <w:position w:val="-6"/>
          <w:sz w:val="24"/>
          <w:szCs w:val="24"/>
        </w:rPr>
      </w:pPr>
    </w:p>
    <w:p w:rsidR="00D41243" w:rsidRDefault="00D41243" w:rsidP="00AD16D6">
      <w:pPr>
        <w:ind w:right="180"/>
        <w:rPr>
          <w:rFonts w:asciiTheme="minorHAnsi" w:hAnsiTheme="minorHAnsi" w:cstheme="majorBidi"/>
          <w:position w:val="-6"/>
          <w:sz w:val="24"/>
          <w:szCs w:val="24"/>
        </w:rPr>
      </w:pPr>
    </w:p>
    <w:p w:rsidR="00D41243" w:rsidRPr="00C20822" w:rsidRDefault="00D41243" w:rsidP="00AD16D6">
      <w:pPr>
        <w:ind w:right="180"/>
        <w:rPr>
          <w:rFonts w:asciiTheme="minorHAnsi" w:hAnsiTheme="minorHAnsi" w:cstheme="majorBidi"/>
          <w:position w:val="-6"/>
          <w:sz w:val="24"/>
          <w:szCs w:val="24"/>
        </w:rPr>
      </w:pPr>
    </w:p>
    <w:p w:rsidR="00573A34" w:rsidRPr="00036D26" w:rsidRDefault="00573A34" w:rsidP="00156FF5">
      <w:pPr>
        <w:spacing w:line="360" w:lineRule="auto"/>
        <w:ind w:right="180"/>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Les </w:t>
      </w:r>
      <w:r w:rsidR="00C456AA" w:rsidRPr="00036D26">
        <w:rPr>
          <w:rFonts w:asciiTheme="minorHAnsi" w:hAnsiTheme="minorHAnsi" w:cstheme="majorBidi"/>
          <w:position w:val="-6"/>
          <w:sz w:val="24"/>
          <w:szCs w:val="24"/>
        </w:rPr>
        <w:t>traumatismes ont</w:t>
      </w:r>
      <w:r w:rsidRPr="00036D26">
        <w:rPr>
          <w:rFonts w:asciiTheme="minorHAnsi" w:hAnsiTheme="minorHAnsi" w:cstheme="majorBidi"/>
          <w:position w:val="-6"/>
          <w:sz w:val="24"/>
          <w:szCs w:val="24"/>
        </w:rPr>
        <w:t xml:space="preserve"> représenté </w:t>
      </w:r>
      <w:r w:rsidR="00156FF5">
        <w:rPr>
          <w:rFonts w:asciiTheme="minorHAnsi" w:hAnsiTheme="minorHAnsi" w:cstheme="majorBidi"/>
          <w:position w:val="-6"/>
          <w:sz w:val="24"/>
          <w:szCs w:val="24"/>
        </w:rPr>
        <w:t>28</w:t>
      </w:r>
      <w:r w:rsidRPr="00036D26">
        <w:rPr>
          <w:rFonts w:asciiTheme="minorHAnsi" w:hAnsiTheme="minorHAnsi" w:cstheme="majorBidi"/>
          <w:position w:val="-6"/>
          <w:sz w:val="24"/>
          <w:szCs w:val="24"/>
        </w:rPr>
        <w:t>% des décès chez l</w:t>
      </w:r>
      <w:r w:rsidR="009E66EC" w:rsidRPr="00036D26">
        <w:rPr>
          <w:rFonts w:asciiTheme="minorHAnsi" w:hAnsiTheme="minorHAnsi" w:cstheme="majorBidi"/>
          <w:position w:val="-6"/>
          <w:sz w:val="24"/>
          <w:szCs w:val="24"/>
        </w:rPr>
        <w:t>es sujets âgés de 25-44 ans</w:t>
      </w:r>
      <w:r w:rsidRPr="00036D26">
        <w:rPr>
          <w:rFonts w:asciiTheme="minorHAnsi" w:hAnsiTheme="minorHAnsi" w:cstheme="majorBidi"/>
          <w:position w:val="-6"/>
          <w:sz w:val="24"/>
          <w:szCs w:val="24"/>
        </w:rPr>
        <w:t>.</w:t>
      </w:r>
    </w:p>
    <w:p w:rsidR="001C1D0A" w:rsidRPr="00036D26" w:rsidRDefault="008766DB" w:rsidP="002D5EFF">
      <w:pPr>
        <w:ind w:right="180"/>
        <w:jc w:val="both"/>
        <w:rPr>
          <w:rFonts w:asciiTheme="minorHAnsi" w:hAnsiTheme="minorHAnsi" w:cstheme="majorBidi"/>
          <w:position w:val="-6"/>
          <w:sz w:val="24"/>
          <w:szCs w:val="24"/>
        </w:rPr>
      </w:pPr>
      <w:r>
        <w:rPr>
          <w:rFonts w:asciiTheme="minorHAnsi" w:hAnsiTheme="minorHAnsi" w:cstheme="majorBidi"/>
          <w:position w:val="-6"/>
          <w:sz w:val="24"/>
          <w:szCs w:val="24"/>
        </w:rPr>
        <w:t>La</w:t>
      </w:r>
      <w:r w:rsidR="001C1D0A" w:rsidRPr="00036D26">
        <w:rPr>
          <w:rFonts w:asciiTheme="minorHAnsi" w:hAnsiTheme="minorHAnsi" w:cstheme="majorBidi"/>
          <w:position w:val="-6"/>
          <w:sz w:val="24"/>
          <w:szCs w:val="24"/>
        </w:rPr>
        <w:t xml:space="preserve"> mortalité proportionnelle par </w:t>
      </w:r>
      <w:r w:rsidR="00C456AA" w:rsidRPr="00036D26">
        <w:rPr>
          <w:rFonts w:asciiTheme="minorHAnsi" w:hAnsiTheme="minorHAnsi" w:cstheme="majorBidi"/>
          <w:position w:val="-6"/>
          <w:sz w:val="24"/>
          <w:szCs w:val="24"/>
        </w:rPr>
        <w:t>traumatisme chez</w:t>
      </w:r>
      <w:r w:rsidR="00CD65FD" w:rsidRPr="00036D26">
        <w:rPr>
          <w:rFonts w:asciiTheme="minorHAnsi" w:hAnsiTheme="minorHAnsi" w:cstheme="majorBidi"/>
          <w:position w:val="-6"/>
          <w:sz w:val="24"/>
          <w:szCs w:val="24"/>
        </w:rPr>
        <w:t xml:space="preserve"> les sujets de sexe masculin (</w:t>
      </w:r>
      <w:r w:rsidR="003145DF" w:rsidRPr="00036D26">
        <w:rPr>
          <w:rFonts w:asciiTheme="minorHAnsi" w:hAnsiTheme="minorHAnsi" w:cstheme="majorBidi"/>
          <w:position w:val="-6"/>
          <w:sz w:val="24"/>
          <w:szCs w:val="24"/>
        </w:rPr>
        <w:t>1</w:t>
      </w:r>
      <w:r w:rsidR="00B263C5">
        <w:rPr>
          <w:rFonts w:asciiTheme="minorHAnsi" w:hAnsiTheme="minorHAnsi" w:cstheme="majorBidi"/>
          <w:position w:val="-6"/>
          <w:sz w:val="24"/>
          <w:szCs w:val="24"/>
        </w:rPr>
        <w:t>4.</w:t>
      </w:r>
      <w:r w:rsidR="002D5EFF">
        <w:rPr>
          <w:rFonts w:asciiTheme="minorHAnsi" w:hAnsiTheme="minorHAnsi" w:cstheme="majorBidi"/>
          <w:position w:val="-6"/>
          <w:sz w:val="24"/>
          <w:szCs w:val="24"/>
        </w:rPr>
        <w:t>1</w:t>
      </w:r>
      <w:r w:rsidR="001C1D0A" w:rsidRPr="00036D26">
        <w:rPr>
          <w:rFonts w:asciiTheme="minorHAnsi" w:hAnsiTheme="minorHAnsi" w:cstheme="majorBidi"/>
          <w:position w:val="-6"/>
          <w:sz w:val="24"/>
          <w:szCs w:val="24"/>
        </w:rPr>
        <w:t xml:space="preserve">%) </w:t>
      </w:r>
      <w:r w:rsidR="00075C0A">
        <w:rPr>
          <w:rFonts w:asciiTheme="minorHAnsi" w:hAnsiTheme="minorHAnsi" w:cstheme="majorBidi"/>
          <w:position w:val="-6"/>
          <w:sz w:val="24"/>
          <w:szCs w:val="24"/>
        </w:rPr>
        <w:t xml:space="preserve">était plus grande d’une façon significative (p&lt;0.001)  et </w:t>
      </w:r>
      <w:r w:rsidR="001C1D0A" w:rsidRPr="00036D26">
        <w:rPr>
          <w:rFonts w:asciiTheme="minorHAnsi" w:hAnsiTheme="minorHAnsi" w:cstheme="majorBidi"/>
          <w:position w:val="-6"/>
          <w:sz w:val="24"/>
          <w:szCs w:val="24"/>
        </w:rPr>
        <w:t xml:space="preserve">représentait </w:t>
      </w:r>
      <w:r w:rsidR="009E66EC" w:rsidRPr="00036D26">
        <w:rPr>
          <w:rFonts w:asciiTheme="minorHAnsi" w:hAnsiTheme="minorHAnsi" w:cstheme="majorBidi"/>
          <w:position w:val="-6"/>
          <w:sz w:val="24"/>
          <w:szCs w:val="24"/>
        </w:rPr>
        <w:t>plus que le triple</w:t>
      </w:r>
      <w:r w:rsidR="001C1D0A" w:rsidRPr="00036D26">
        <w:rPr>
          <w:rFonts w:asciiTheme="minorHAnsi" w:hAnsiTheme="minorHAnsi" w:cstheme="majorBidi"/>
          <w:position w:val="-6"/>
          <w:sz w:val="24"/>
          <w:szCs w:val="24"/>
        </w:rPr>
        <w:t xml:space="preserve"> de cel</w:t>
      </w:r>
      <w:r w:rsidR="00CD65FD" w:rsidRPr="00036D26">
        <w:rPr>
          <w:rFonts w:asciiTheme="minorHAnsi" w:hAnsiTheme="minorHAnsi" w:cstheme="majorBidi"/>
          <w:position w:val="-6"/>
          <w:sz w:val="24"/>
          <w:szCs w:val="24"/>
        </w:rPr>
        <w:t xml:space="preserve">le des sujets de sexe féminin </w:t>
      </w:r>
      <w:r w:rsidR="00075C0A">
        <w:rPr>
          <w:rFonts w:asciiTheme="minorHAnsi" w:hAnsiTheme="minorHAnsi" w:cstheme="majorBidi"/>
          <w:position w:val="-6"/>
          <w:sz w:val="24"/>
          <w:szCs w:val="24"/>
        </w:rPr>
        <w:t xml:space="preserve">qui était </w:t>
      </w:r>
      <w:r w:rsidR="00B263C5">
        <w:rPr>
          <w:rFonts w:asciiTheme="minorHAnsi" w:hAnsiTheme="minorHAnsi" w:cstheme="majorBidi"/>
          <w:position w:val="-6"/>
          <w:sz w:val="24"/>
          <w:szCs w:val="24"/>
        </w:rPr>
        <w:t>4</w:t>
      </w:r>
      <w:r w:rsidR="009E66EC" w:rsidRPr="00036D26">
        <w:rPr>
          <w:rFonts w:asciiTheme="minorHAnsi" w:hAnsiTheme="minorHAnsi" w:cstheme="majorBidi"/>
          <w:position w:val="-6"/>
          <w:sz w:val="24"/>
          <w:szCs w:val="24"/>
        </w:rPr>
        <w:t>.</w:t>
      </w:r>
      <w:r w:rsidR="00B263C5">
        <w:rPr>
          <w:rFonts w:asciiTheme="minorHAnsi" w:hAnsiTheme="minorHAnsi" w:cstheme="majorBidi"/>
          <w:position w:val="-6"/>
          <w:sz w:val="24"/>
          <w:szCs w:val="24"/>
        </w:rPr>
        <w:t>9</w:t>
      </w:r>
      <w:r w:rsidR="00D41243">
        <w:rPr>
          <w:rFonts w:asciiTheme="minorHAnsi" w:hAnsiTheme="minorHAnsi" w:cstheme="majorBidi"/>
          <w:position w:val="-6"/>
          <w:sz w:val="24"/>
          <w:szCs w:val="24"/>
        </w:rPr>
        <w:t xml:space="preserve"> </w:t>
      </w:r>
      <w:r w:rsidR="0081681C" w:rsidRPr="00036D26">
        <w:rPr>
          <w:rFonts w:asciiTheme="minorHAnsi" w:hAnsiTheme="minorHAnsi" w:cstheme="majorBidi"/>
          <w:position w:val="-6"/>
          <w:sz w:val="24"/>
          <w:szCs w:val="24"/>
        </w:rPr>
        <w:t>%.</w:t>
      </w:r>
    </w:p>
    <w:p w:rsidR="0081681C" w:rsidRPr="0024308F" w:rsidRDefault="0081681C" w:rsidP="0081681C">
      <w:pPr>
        <w:ind w:right="180"/>
        <w:jc w:val="both"/>
        <w:rPr>
          <w:rFonts w:asciiTheme="minorHAnsi" w:hAnsiTheme="minorHAnsi" w:cstheme="majorBidi"/>
          <w:position w:val="-6"/>
          <w:sz w:val="14"/>
          <w:szCs w:val="14"/>
        </w:rPr>
      </w:pPr>
    </w:p>
    <w:p w:rsidR="00573A34" w:rsidRPr="00036D26" w:rsidRDefault="00573A34" w:rsidP="002D5EFF">
      <w:pPr>
        <w:ind w:right="180"/>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Les </w:t>
      </w:r>
      <w:r w:rsidR="005A007A" w:rsidRPr="00036D26">
        <w:rPr>
          <w:rFonts w:asciiTheme="minorHAnsi" w:hAnsiTheme="minorHAnsi" w:cstheme="majorBidi"/>
          <w:position w:val="-6"/>
          <w:sz w:val="24"/>
          <w:szCs w:val="24"/>
        </w:rPr>
        <w:t>polytraumatisés</w:t>
      </w:r>
      <w:r w:rsidR="00FA4334" w:rsidRPr="00036D26">
        <w:rPr>
          <w:rFonts w:asciiTheme="minorHAnsi" w:hAnsiTheme="minorHAnsi" w:cstheme="majorBidi"/>
          <w:position w:val="-6"/>
          <w:sz w:val="24"/>
          <w:szCs w:val="24"/>
        </w:rPr>
        <w:t xml:space="preserve"> au nombre de </w:t>
      </w:r>
      <w:r w:rsidR="00B263C5">
        <w:rPr>
          <w:rFonts w:asciiTheme="minorHAnsi" w:hAnsiTheme="minorHAnsi" w:cstheme="majorBidi"/>
          <w:position w:val="-6"/>
          <w:sz w:val="24"/>
          <w:szCs w:val="24"/>
        </w:rPr>
        <w:t>91</w:t>
      </w:r>
      <w:r w:rsidR="00D41243">
        <w:rPr>
          <w:rFonts w:asciiTheme="minorHAnsi" w:hAnsiTheme="minorHAnsi" w:cstheme="majorBidi"/>
          <w:position w:val="-6"/>
          <w:sz w:val="24"/>
          <w:szCs w:val="24"/>
        </w:rPr>
        <w:t xml:space="preserve"> </w:t>
      </w:r>
      <w:r w:rsidR="003378A0" w:rsidRPr="00036D26">
        <w:rPr>
          <w:rFonts w:asciiTheme="minorHAnsi" w:hAnsiTheme="minorHAnsi" w:cstheme="majorBidi"/>
          <w:position w:val="-6"/>
          <w:sz w:val="24"/>
          <w:szCs w:val="24"/>
        </w:rPr>
        <w:t>ont représenté</w:t>
      </w:r>
      <w:r w:rsidR="00B263C5">
        <w:rPr>
          <w:rFonts w:asciiTheme="minorHAnsi" w:hAnsiTheme="minorHAnsi" w:cstheme="majorBidi"/>
          <w:position w:val="-6"/>
          <w:sz w:val="24"/>
          <w:szCs w:val="24"/>
        </w:rPr>
        <w:t xml:space="preserve"> 5</w:t>
      </w:r>
      <w:r w:rsidR="002D5EFF">
        <w:rPr>
          <w:rFonts w:asciiTheme="minorHAnsi" w:hAnsiTheme="minorHAnsi" w:cstheme="majorBidi"/>
          <w:position w:val="-6"/>
          <w:sz w:val="24"/>
          <w:szCs w:val="24"/>
        </w:rPr>
        <w:t>5</w:t>
      </w:r>
      <w:r w:rsidR="00B263C5">
        <w:rPr>
          <w:rFonts w:asciiTheme="minorHAnsi" w:hAnsiTheme="minorHAnsi" w:cstheme="majorBidi"/>
          <w:position w:val="-6"/>
          <w:sz w:val="24"/>
          <w:szCs w:val="24"/>
        </w:rPr>
        <w:t>.</w:t>
      </w:r>
      <w:r w:rsidR="002D5EFF">
        <w:rPr>
          <w:rFonts w:asciiTheme="minorHAnsi" w:hAnsiTheme="minorHAnsi" w:cstheme="majorBidi"/>
          <w:position w:val="-6"/>
          <w:sz w:val="24"/>
          <w:szCs w:val="24"/>
        </w:rPr>
        <w:t>2</w:t>
      </w:r>
      <w:r w:rsidR="003378A0" w:rsidRPr="00036D26">
        <w:rPr>
          <w:rFonts w:asciiTheme="minorHAnsi" w:hAnsiTheme="minorHAnsi" w:cstheme="majorBidi"/>
          <w:position w:val="-6"/>
          <w:sz w:val="24"/>
          <w:szCs w:val="24"/>
        </w:rPr>
        <w:t>% de</w:t>
      </w:r>
      <w:r w:rsidRPr="00036D26">
        <w:rPr>
          <w:rFonts w:asciiTheme="minorHAnsi" w:hAnsiTheme="minorHAnsi" w:cstheme="majorBidi"/>
          <w:position w:val="-6"/>
          <w:sz w:val="24"/>
          <w:szCs w:val="24"/>
        </w:rPr>
        <w:t xml:space="preserve"> l’ensemble des </w:t>
      </w:r>
      <w:r w:rsidR="003E1324" w:rsidRPr="00036D26">
        <w:rPr>
          <w:rFonts w:asciiTheme="minorHAnsi" w:hAnsiTheme="minorHAnsi" w:cstheme="majorBidi"/>
          <w:position w:val="-6"/>
          <w:sz w:val="24"/>
          <w:szCs w:val="24"/>
        </w:rPr>
        <w:t xml:space="preserve">traumatismes. </w:t>
      </w:r>
      <w:r w:rsidRPr="00036D26">
        <w:rPr>
          <w:rFonts w:asciiTheme="minorHAnsi" w:hAnsiTheme="minorHAnsi" w:cstheme="majorBidi"/>
          <w:position w:val="-6"/>
          <w:sz w:val="24"/>
          <w:szCs w:val="24"/>
        </w:rPr>
        <w:t xml:space="preserve">La </w:t>
      </w:r>
      <w:r w:rsidR="006036C9" w:rsidRPr="00036D26">
        <w:rPr>
          <w:rFonts w:asciiTheme="minorHAnsi" w:hAnsiTheme="minorHAnsi" w:cstheme="majorBidi"/>
          <w:position w:val="-6"/>
          <w:sz w:val="24"/>
          <w:szCs w:val="24"/>
        </w:rPr>
        <w:t xml:space="preserve">moyenne </w:t>
      </w:r>
      <w:r w:rsidRPr="00036D26">
        <w:rPr>
          <w:rFonts w:asciiTheme="minorHAnsi" w:hAnsiTheme="minorHAnsi" w:cstheme="majorBidi"/>
          <w:position w:val="-6"/>
          <w:sz w:val="24"/>
          <w:szCs w:val="24"/>
        </w:rPr>
        <w:t xml:space="preserve">de la </w:t>
      </w:r>
      <w:r w:rsidR="003378A0" w:rsidRPr="00036D26">
        <w:rPr>
          <w:rFonts w:asciiTheme="minorHAnsi" w:hAnsiTheme="minorHAnsi" w:cstheme="majorBidi"/>
          <w:position w:val="-6"/>
          <w:sz w:val="24"/>
          <w:szCs w:val="24"/>
        </w:rPr>
        <w:t xml:space="preserve">durée </w:t>
      </w:r>
      <w:r w:rsidR="007427A8">
        <w:rPr>
          <w:rFonts w:asciiTheme="minorHAnsi" w:hAnsiTheme="minorHAnsi" w:cstheme="majorBidi"/>
          <w:position w:val="-6"/>
          <w:sz w:val="24"/>
          <w:szCs w:val="24"/>
        </w:rPr>
        <w:t xml:space="preserve">de séjour </w:t>
      </w:r>
      <w:r w:rsidRPr="00036D26">
        <w:rPr>
          <w:rFonts w:asciiTheme="minorHAnsi" w:hAnsiTheme="minorHAnsi" w:cstheme="majorBidi"/>
          <w:position w:val="-6"/>
          <w:sz w:val="24"/>
          <w:szCs w:val="24"/>
        </w:rPr>
        <w:t xml:space="preserve">des polytraumatisés était </w:t>
      </w:r>
      <w:r w:rsidR="001C1D0A" w:rsidRPr="00036D26">
        <w:rPr>
          <w:rFonts w:asciiTheme="minorHAnsi" w:hAnsiTheme="minorHAnsi" w:cstheme="majorBidi"/>
          <w:position w:val="-6"/>
          <w:sz w:val="24"/>
          <w:szCs w:val="24"/>
        </w:rPr>
        <w:t>d</w:t>
      </w:r>
      <w:r w:rsidR="0081681C" w:rsidRPr="00036D26">
        <w:rPr>
          <w:rFonts w:asciiTheme="minorHAnsi" w:hAnsiTheme="minorHAnsi" w:cstheme="majorBidi"/>
          <w:position w:val="-6"/>
          <w:sz w:val="24"/>
          <w:szCs w:val="24"/>
        </w:rPr>
        <w:t xml:space="preserve">e </w:t>
      </w:r>
      <w:r w:rsidR="00B263C5">
        <w:rPr>
          <w:rFonts w:asciiTheme="minorHAnsi" w:hAnsiTheme="minorHAnsi" w:cstheme="majorBidi"/>
          <w:position w:val="-6"/>
          <w:sz w:val="24"/>
          <w:szCs w:val="24"/>
        </w:rPr>
        <w:t>5.9</w:t>
      </w:r>
      <w:r w:rsidR="006036C9" w:rsidRPr="00036D26">
        <w:rPr>
          <w:rFonts w:asciiTheme="minorHAnsi" w:hAnsiTheme="minorHAnsi" w:cstheme="majorBidi"/>
          <w:position w:val="-6"/>
          <w:sz w:val="24"/>
          <w:szCs w:val="24"/>
        </w:rPr>
        <w:t>±</w:t>
      </w:r>
      <w:r w:rsidR="00B263C5">
        <w:rPr>
          <w:rFonts w:asciiTheme="minorHAnsi" w:hAnsiTheme="minorHAnsi" w:cstheme="majorBidi"/>
          <w:position w:val="-6"/>
          <w:sz w:val="24"/>
          <w:szCs w:val="24"/>
        </w:rPr>
        <w:t>9.8</w:t>
      </w:r>
      <w:r w:rsidR="003C1291" w:rsidRPr="00036D26">
        <w:rPr>
          <w:rFonts w:asciiTheme="minorHAnsi" w:hAnsiTheme="minorHAnsi" w:cstheme="majorBidi"/>
          <w:position w:val="-6"/>
          <w:sz w:val="24"/>
          <w:szCs w:val="24"/>
        </w:rPr>
        <w:t xml:space="preserve">jour. </w:t>
      </w:r>
      <w:r w:rsidR="007D1F3F">
        <w:rPr>
          <w:rFonts w:asciiTheme="minorHAnsi" w:hAnsiTheme="minorHAnsi" w:cstheme="majorBidi"/>
          <w:position w:val="-6"/>
          <w:sz w:val="24"/>
          <w:szCs w:val="24"/>
        </w:rPr>
        <w:t xml:space="preserve"> Parmi eux, </w:t>
      </w:r>
      <w:r w:rsidR="00B263C5">
        <w:rPr>
          <w:rFonts w:asciiTheme="minorHAnsi" w:hAnsiTheme="minorHAnsi" w:cstheme="majorBidi"/>
          <w:position w:val="-6"/>
          <w:sz w:val="24"/>
          <w:szCs w:val="24"/>
        </w:rPr>
        <w:t>22</w:t>
      </w:r>
      <w:r w:rsidR="00BE1152">
        <w:rPr>
          <w:rFonts w:asciiTheme="minorHAnsi" w:hAnsiTheme="minorHAnsi" w:cstheme="majorBidi"/>
          <w:position w:val="-6"/>
          <w:sz w:val="24"/>
          <w:szCs w:val="24"/>
        </w:rPr>
        <w:t xml:space="preserve">  soit </w:t>
      </w:r>
      <w:r w:rsidR="000D40D8">
        <w:rPr>
          <w:rFonts w:asciiTheme="minorHAnsi" w:hAnsiTheme="minorHAnsi" w:cstheme="majorBidi"/>
          <w:position w:val="-6"/>
          <w:sz w:val="24"/>
          <w:szCs w:val="24"/>
        </w:rPr>
        <w:t>2</w:t>
      </w:r>
      <w:r w:rsidR="00B263C5">
        <w:rPr>
          <w:rFonts w:asciiTheme="minorHAnsi" w:hAnsiTheme="minorHAnsi" w:cstheme="majorBidi"/>
          <w:position w:val="-6"/>
          <w:sz w:val="24"/>
          <w:szCs w:val="24"/>
        </w:rPr>
        <w:t>4.2</w:t>
      </w:r>
      <w:r w:rsidR="00D41243">
        <w:rPr>
          <w:rFonts w:asciiTheme="minorHAnsi" w:hAnsiTheme="minorHAnsi" w:cstheme="majorBidi"/>
          <w:position w:val="-6"/>
          <w:sz w:val="24"/>
          <w:szCs w:val="24"/>
        </w:rPr>
        <w:t xml:space="preserve"> </w:t>
      </w:r>
      <w:r w:rsidR="007D1F3F">
        <w:rPr>
          <w:rFonts w:asciiTheme="minorHAnsi" w:hAnsiTheme="minorHAnsi" w:cstheme="majorBidi"/>
          <w:position w:val="-6"/>
          <w:sz w:val="24"/>
          <w:szCs w:val="24"/>
        </w:rPr>
        <w:t xml:space="preserve">% </w:t>
      </w:r>
      <w:r w:rsidRPr="00036D26">
        <w:rPr>
          <w:rFonts w:asciiTheme="minorHAnsi" w:hAnsiTheme="minorHAnsi" w:cstheme="majorBidi"/>
          <w:position w:val="-6"/>
          <w:sz w:val="24"/>
          <w:szCs w:val="24"/>
        </w:rPr>
        <w:t>ont séjourné moins d’un jour au CHU.</w:t>
      </w:r>
    </w:p>
    <w:p w:rsidR="00934C9A" w:rsidRPr="0081151C" w:rsidRDefault="00934C9A" w:rsidP="00777371">
      <w:pPr>
        <w:ind w:right="180"/>
        <w:jc w:val="both"/>
        <w:rPr>
          <w:rFonts w:asciiTheme="minorHAnsi" w:hAnsiTheme="minorHAnsi" w:cstheme="majorBidi"/>
          <w:position w:val="-6"/>
          <w:sz w:val="16"/>
          <w:szCs w:val="16"/>
        </w:rPr>
      </w:pPr>
    </w:p>
    <w:p w:rsidR="00573A34" w:rsidRPr="00036D26" w:rsidRDefault="00934C9A" w:rsidP="00B263C5">
      <w:pPr>
        <w:ind w:right="180"/>
        <w:rPr>
          <w:rFonts w:asciiTheme="minorHAnsi" w:hAnsiTheme="minorHAnsi" w:cstheme="majorBidi"/>
          <w:position w:val="-6"/>
          <w:sz w:val="24"/>
          <w:szCs w:val="24"/>
        </w:rPr>
      </w:pPr>
      <w:r w:rsidRPr="00036D26">
        <w:rPr>
          <w:rFonts w:asciiTheme="minorHAnsi" w:hAnsiTheme="minorHAnsi" w:cstheme="majorBidi"/>
          <w:position w:val="-6"/>
          <w:sz w:val="24"/>
          <w:szCs w:val="24"/>
        </w:rPr>
        <w:t>Le</w:t>
      </w:r>
      <w:r w:rsidR="000D40D8">
        <w:rPr>
          <w:rFonts w:asciiTheme="minorHAnsi" w:hAnsiTheme="minorHAnsi" w:cstheme="majorBidi"/>
          <w:position w:val="-6"/>
          <w:sz w:val="24"/>
          <w:szCs w:val="24"/>
        </w:rPr>
        <w:t xml:space="preserve"> service des </w:t>
      </w:r>
      <w:r w:rsidR="00BE1152">
        <w:rPr>
          <w:rFonts w:asciiTheme="minorHAnsi" w:hAnsiTheme="minorHAnsi" w:cstheme="majorBidi"/>
          <w:position w:val="-6"/>
          <w:sz w:val="24"/>
          <w:szCs w:val="24"/>
        </w:rPr>
        <w:t>U</w:t>
      </w:r>
      <w:r w:rsidR="00007021">
        <w:rPr>
          <w:rFonts w:asciiTheme="minorHAnsi" w:hAnsiTheme="minorHAnsi" w:cstheme="majorBidi"/>
          <w:position w:val="-6"/>
          <w:sz w:val="24"/>
          <w:szCs w:val="24"/>
        </w:rPr>
        <w:t xml:space="preserve">MC </w:t>
      </w:r>
      <w:r w:rsidR="000D40D8">
        <w:rPr>
          <w:rFonts w:asciiTheme="minorHAnsi" w:hAnsiTheme="minorHAnsi" w:cstheme="majorBidi"/>
          <w:position w:val="-6"/>
          <w:sz w:val="24"/>
          <w:szCs w:val="24"/>
        </w:rPr>
        <w:t>a</w:t>
      </w:r>
      <w:r w:rsidR="0081681C" w:rsidRPr="00036D26">
        <w:rPr>
          <w:rFonts w:asciiTheme="minorHAnsi" w:hAnsiTheme="minorHAnsi" w:cstheme="majorBidi"/>
          <w:position w:val="-6"/>
          <w:sz w:val="24"/>
          <w:szCs w:val="24"/>
        </w:rPr>
        <w:t xml:space="preserve"> accueilli la </w:t>
      </w:r>
      <w:r w:rsidR="000D40D8">
        <w:rPr>
          <w:rFonts w:asciiTheme="minorHAnsi" w:hAnsiTheme="minorHAnsi" w:cstheme="majorBidi"/>
          <w:position w:val="-6"/>
          <w:sz w:val="24"/>
          <w:szCs w:val="24"/>
        </w:rPr>
        <w:t>quasi-</w:t>
      </w:r>
      <w:r w:rsidR="0081681C" w:rsidRPr="00036D26">
        <w:rPr>
          <w:rFonts w:asciiTheme="minorHAnsi" w:hAnsiTheme="minorHAnsi" w:cstheme="majorBidi"/>
          <w:position w:val="-6"/>
          <w:sz w:val="24"/>
          <w:szCs w:val="24"/>
        </w:rPr>
        <w:t>totalité</w:t>
      </w:r>
      <w:r w:rsidRPr="00036D26">
        <w:rPr>
          <w:rFonts w:asciiTheme="minorHAnsi" w:hAnsiTheme="minorHAnsi" w:cstheme="majorBidi"/>
          <w:position w:val="-6"/>
          <w:sz w:val="24"/>
          <w:szCs w:val="24"/>
        </w:rPr>
        <w:t xml:space="preserve"> des</w:t>
      </w:r>
      <w:r w:rsidR="00D41243">
        <w:rPr>
          <w:rFonts w:asciiTheme="minorHAnsi" w:hAnsiTheme="minorHAnsi" w:cstheme="majorBidi"/>
          <w:position w:val="-6"/>
          <w:sz w:val="24"/>
          <w:szCs w:val="24"/>
        </w:rPr>
        <w:t xml:space="preserve"> </w:t>
      </w:r>
      <w:r w:rsidR="003378A0" w:rsidRPr="00036D26">
        <w:rPr>
          <w:rFonts w:asciiTheme="minorHAnsi" w:hAnsiTheme="minorHAnsi" w:cstheme="majorBidi"/>
          <w:position w:val="-6"/>
          <w:sz w:val="24"/>
          <w:szCs w:val="24"/>
        </w:rPr>
        <w:t>polytraumatisés</w:t>
      </w:r>
      <w:r w:rsidR="007427A8">
        <w:rPr>
          <w:rFonts w:asciiTheme="minorHAnsi" w:hAnsiTheme="minorHAnsi" w:cstheme="majorBidi"/>
          <w:position w:val="-6"/>
          <w:sz w:val="24"/>
          <w:szCs w:val="24"/>
        </w:rPr>
        <w:t xml:space="preserve"> avec </w:t>
      </w:r>
      <w:r w:rsidR="000D40D8">
        <w:rPr>
          <w:rFonts w:asciiTheme="minorHAnsi" w:hAnsiTheme="minorHAnsi" w:cstheme="majorBidi"/>
          <w:position w:val="-6"/>
          <w:sz w:val="24"/>
          <w:szCs w:val="24"/>
        </w:rPr>
        <w:t>9</w:t>
      </w:r>
      <w:r w:rsidR="00B263C5">
        <w:rPr>
          <w:rFonts w:asciiTheme="minorHAnsi" w:hAnsiTheme="minorHAnsi" w:cstheme="majorBidi"/>
          <w:position w:val="-6"/>
          <w:sz w:val="24"/>
          <w:szCs w:val="24"/>
        </w:rPr>
        <w:t>8</w:t>
      </w:r>
      <w:r w:rsidR="000D40D8">
        <w:rPr>
          <w:rFonts w:asciiTheme="minorHAnsi" w:hAnsiTheme="minorHAnsi" w:cstheme="majorBidi"/>
          <w:position w:val="-6"/>
          <w:sz w:val="24"/>
          <w:szCs w:val="24"/>
        </w:rPr>
        <w:t>.</w:t>
      </w:r>
      <w:r w:rsidR="00B263C5">
        <w:rPr>
          <w:rFonts w:asciiTheme="minorHAnsi" w:hAnsiTheme="minorHAnsi" w:cstheme="majorBidi"/>
          <w:position w:val="-6"/>
          <w:sz w:val="24"/>
          <w:szCs w:val="24"/>
        </w:rPr>
        <w:t>9</w:t>
      </w:r>
      <w:r w:rsidR="007427A8">
        <w:rPr>
          <w:rFonts w:asciiTheme="minorHAnsi" w:hAnsiTheme="minorHAnsi" w:cstheme="majorBidi"/>
          <w:position w:val="-6"/>
          <w:sz w:val="24"/>
          <w:szCs w:val="24"/>
        </w:rPr>
        <w:t>%</w:t>
      </w:r>
      <w:r w:rsidR="000D40D8">
        <w:rPr>
          <w:rFonts w:asciiTheme="minorHAnsi" w:hAnsiTheme="minorHAnsi" w:cstheme="majorBidi"/>
          <w:position w:val="-6"/>
          <w:sz w:val="24"/>
          <w:szCs w:val="24"/>
        </w:rPr>
        <w:t xml:space="preserve">, suivi </w:t>
      </w:r>
      <w:r w:rsidR="007427A8">
        <w:rPr>
          <w:rFonts w:asciiTheme="minorHAnsi" w:hAnsiTheme="minorHAnsi" w:cstheme="majorBidi"/>
          <w:position w:val="-6"/>
          <w:sz w:val="24"/>
          <w:szCs w:val="24"/>
        </w:rPr>
        <w:t>par l</w:t>
      </w:r>
      <w:r w:rsidR="000D40D8">
        <w:rPr>
          <w:rFonts w:asciiTheme="minorHAnsi" w:hAnsiTheme="minorHAnsi" w:cstheme="majorBidi"/>
          <w:position w:val="-6"/>
          <w:sz w:val="24"/>
          <w:szCs w:val="24"/>
        </w:rPr>
        <w:t>e service de chirurgie</w:t>
      </w:r>
      <w:r w:rsidR="00B263C5">
        <w:rPr>
          <w:rFonts w:asciiTheme="minorHAnsi" w:hAnsiTheme="minorHAnsi" w:cstheme="majorBidi"/>
          <w:position w:val="-6"/>
          <w:sz w:val="24"/>
          <w:szCs w:val="24"/>
        </w:rPr>
        <w:t xml:space="preserve"> générale (1%)</w:t>
      </w:r>
      <w:r w:rsidR="000D40D8">
        <w:rPr>
          <w:rFonts w:asciiTheme="minorHAnsi" w:hAnsiTheme="minorHAnsi" w:cstheme="majorBidi"/>
          <w:position w:val="-6"/>
          <w:sz w:val="24"/>
          <w:szCs w:val="24"/>
        </w:rPr>
        <w:t>.</w:t>
      </w:r>
    </w:p>
    <w:p w:rsidR="007D1F3F" w:rsidRPr="0081151C" w:rsidRDefault="007D1F3F" w:rsidP="007D1F3F">
      <w:pPr>
        <w:ind w:right="180"/>
        <w:jc w:val="both"/>
        <w:rPr>
          <w:rFonts w:asciiTheme="minorHAnsi" w:hAnsiTheme="minorHAnsi" w:cstheme="majorBidi"/>
          <w:position w:val="-6"/>
          <w:sz w:val="16"/>
          <w:szCs w:val="16"/>
        </w:rPr>
      </w:pPr>
    </w:p>
    <w:p w:rsidR="003E5E7F" w:rsidRDefault="00046E31" w:rsidP="002D5EFF">
      <w:pPr>
        <w:ind w:right="180"/>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Les accidents de la circ</w:t>
      </w:r>
      <w:r w:rsidR="00A17227" w:rsidRPr="00036D26">
        <w:rPr>
          <w:rFonts w:asciiTheme="minorHAnsi" w:hAnsiTheme="minorHAnsi" w:cstheme="majorBidi"/>
          <w:position w:val="-6"/>
          <w:sz w:val="24"/>
          <w:szCs w:val="24"/>
        </w:rPr>
        <w:t xml:space="preserve">ulation routière ont constitué </w:t>
      </w:r>
      <w:r w:rsidR="00B263C5">
        <w:rPr>
          <w:rFonts w:asciiTheme="minorHAnsi" w:hAnsiTheme="minorHAnsi" w:cstheme="majorBidi"/>
          <w:position w:val="-6"/>
          <w:sz w:val="24"/>
          <w:szCs w:val="24"/>
        </w:rPr>
        <w:t>56.4</w:t>
      </w:r>
      <w:r w:rsidRPr="00036D26">
        <w:rPr>
          <w:rFonts w:asciiTheme="minorHAnsi" w:hAnsiTheme="minorHAnsi" w:cstheme="majorBidi"/>
          <w:position w:val="-6"/>
          <w:sz w:val="24"/>
          <w:szCs w:val="24"/>
        </w:rPr>
        <w:t>% des causes extérieures chez les</w:t>
      </w:r>
      <w:r w:rsidR="000D40D8">
        <w:rPr>
          <w:rFonts w:asciiTheme="minorHAnsi" w:hAnsiTheme="minorHAnsi" w:cstheme="majorBidi"/>
          <w:position w:val="-6"/>
          <w:sz w:val="24"/>
          <w:szCs w:val="24"/>
        </w:rPr>
        <w:t xml:space="preserve"> enfants et les adultes jeunes </w:t>
      </w:r>
      <w:r w:rsidRPr="00036D26">
        <w:rPr>
          <w:rFonts w:asciiTheme="minorHAnsi" w:hAnsiTheme="minorHAnsi" w:cstheme="majorBidi"/>
          <w:position w:val="-6"/>
          <w:sz w:val="24"/>
          <w:szCs w:val="24"/>
        </w:rPr>
        <w:t>moins de 25 ans</w:t>
      </w:r>
      <w:r w:rsidR="007427A8">
        <w:rPr>
          <w:rFonts w:asciiTheme="minorHAnsi" w:hAnsiTheme="minorHAnsi" w:cstheme="majorBidi"/>
          <w:position w:val="-6"/>
          <w:sz w:val="24"/>
          <w:szCs w:val="24"/>
        </w:rPr>
        <w:t>,</w:t>
      </w:r>
      <w:r w:rsidR="00B263C5">
        <w:rPr>
          <w:rFonts w:asciiTheme="minorHAnsi" w:hAnsiTheme="minorHAnsi" w:cstheme="majorBidi"/>
          <w:position w:val="-6"/>
          <w:sz w:val="24"/>
          <w:szCs w:val="24"/>
        </w:rPr>
        <w:t>30.4</w:t>
      </w:r>
      <w:r w:rsidR="003378A0" w:rsidRPr="00036D26">
        <w:rPr>
          <w:rFonts w:asciiTheme="minorHAnsi" w:hAnsiTheme="minorHAnsi" w:cstheme="majorBidi"/>
          <w:position w:val="-6"/>
          <w:sz w:val="24"/>
          <w:szCs w:val="24"/>
        </w:rPr>
        <w:t>% chez</w:t>
      </w:r>
      <w:r w:rsidRPr="00036D26">
        <w:rPr>
          <w:rFonts w:asciiTheme="minorHAnsi" w:hAnsiTheme="minorHAnsi" w:cstheme="majorBidi"/>
          <w:position w:val="-6"/>
          <w:sz w:val="24"/>
          <w:szCs w:val="24"/>
        </w:rPr>
        <w:t xml:space="preserve"> les sujets de 25 à 44 ans et </w:t>
      </w:r>
      <w:r w:rsidR="000D40D8">
        <w:rPr>
          <w:rFonts w:asciiTheme="minorHAnsi" w:hAnsiTheme="minorHAnsi" w:cstheme="majorBidi"/>
          <w:position w:val="-6"/>
          <w:sz w:val="24"/>
          <w:szCs w:val="24"/>
        </w:rPr>
        <w:t>5</w:t>
      </w:r>
      <w:r w:rsidR="00985FD1">
        <w:rPr>
          <w:rFonts w:asciiTheme="minorHAnsi" w:hAnsiTheme="minorHAnsi" w:cstheme="majorBidi"/>
          <w:position w:val="-6"/>
          <w:sz w:val="24"/>
          <w:szCs w:val="24"/>
        </w:rPr>
        <w:t>0</w:t>
      </w:r>
      <w:r w:rsidR="007D1F3F">
        <w:rPr>
          <w:rFonts w:asciiTheme="minorHAnsi" w:hAnsiTheme="minorHAnsi" w:cstheme="majorBidi"/>
          <w:position w:val="-6"/>
          <w:sz w:val="24"/>
          <w:szCs w:val="24"/>
        </w:rPr>
        <w:t>%</w:t>
      </w:r>
      <w:r w:rsidRPr="00036D26">
        <w:rPr>
          <w:rFonts w:asciiTheme="minorHAnsi" w:hAnsiTheme="minorHAnsi" w:cstheme="majorBidi"/>
          <w:position w:val="-6"/>
          <w:sz w:val="24"/>
          <w:szCs w:val="24"/>
        </w:rPr>
        <w:t>ch</w:t>
      </w:r>
      <w:r w:rsidR="000D40D8">
        <w:rPr>
          <w:rFonts w:asciiTheme="minorHAnsi" w:hAnsiTheme="minorHAnsi" w:cstheme="majorBidi"/>
          <w:position w:val="-6"/>
          <w:sz w:val="24"/>
          <w:szCs w:val="24"/>
        </w:rPr>
        <w:t>ez les sujets de 45 à 64 ans</w:t>
      </w:r>
      <w:r w:rsidRPr="00036D26">
        <w:rPr>
          <w:rFonts w:asciiTheme="minorHAnsi" w:hAnsiTheme="minorHAnsi" w:cstheme="majorBidi"/>
          <w:position w:val="-6"/>
          <w:sz w:val="24"/>
          <w:szCs w:val="24"/>
        </w:rPr>
        <w:t xml:space="preserve">. Par ailleurs, la proportion des accidents de la circulation routière chez les sujets de sexe </w:t>
      </w:r>
      <w:r w:rsidR="003378A0" w:rsidRPr="00036D26">
        <w:rPr>
          <w:rFonts w:asciiTheme="minorHAnsi" w:hAnsiTheme="minorHAnsi" w:cstheme="majorBidi"/>
          <w:position w:val="-6"/>
          <w:sz w:val="24"/>
          <w:szCs w:val="24"/>
        </w:rPr>
        <w:t>masculin n’était</w:t>
      </w:r>
      <w:r w:rsidRPr="00036D26">
        <w:rPr>
          <w:rFonts w:asciiTheme="minorHAnsi" w:hAnsiTheme="minorHAnsi" w:cstheme="majorBidi"/>
          <w:position w:val="-6"/>
          <w:sz w:val="24"/>
          <w:szCs w:val="24"/>
        </w:rPr>
        <w:t xml:space="preserve"> pas significativement différente </w:t>
      </w:r>
      <w:r w:rsidR="00577FA2">
        <w:rPr>
          <w:rFonts w:asciiTheme="minorHAnsi" w:hAnsiTheme="minorHAnsi" w:cstheme="majorBidi"/>
          <w:position w:val="-6"/>
          <w:sz w:val="24"/>
          <w:szCs w:val="24"/>
        </w:rPr>
        <w:t xml:space="preserve">(p=0.16) </w:t>
      </w:r>
      <w:r w:rsidRPr="00036D26">
        <w:rPr>
          <w:rFonts w:asciiTheme="minorHAnsi" w:hAnsiTheme="minorHAnsi" w:cstheme="majorBidi"/>
          <w:position w:val="-6"/>
          <w:sz w:val="24"/>
          <w:szCs w:val="24"/>
        </w:rPr>
        <w:t xml:space="preserve">de celle des sujets de </w:t>
      </w:r>
      <w:r w:rsidR="004B5943" w:rsidRPr="00036D26">
        <w:rPr>
          <w:rFonts w:asciiTheme="minorHAnsi" w:hAnsiTheme="minorHAnsi" w:cstheme="majorBidi"/>
          <w:position w:val="-6"/>
          <w:sz w:val="24"/>
          <w:szCs w:val="24"/>
        </w:rPr>
        <w:t>sexe fé</w:t>
      </w:r>
      <w:r w:rsidR="00CE214C" w:rsidRPr="00036D26">
        <w:rPr>
          <w:rFonts w:asciiTheme="minorHAnsi" w:hAnsiTheme="minorHAnsi" w:cstheme="majorBidi"/>
          <w:position w:val="-6"/>
          <w:sz w:val="24"/>
          <w:szCs w:val="24"/>
        </w:rPr>
        <w:t xml:space="preserve">minin, respectivement </w:t>
      </w:r>
      <w:r w:rsidR="008D29A4">
        <w:rPr>
          <w:rFonts w:asciiTheme="minorHAnsi" w:hAnsiTheme="minorHAnsi" w:cstheme="majorBidi"/>
          <w:position w:val="-6"/>
          <w:sz w:val="24"/>
          <w:szCs w:val="24"/>
        </w:rPr>
        <w:t>41.5</w:t>
      </w:r>
      <w:r w:rsidR="00CE214C" w:rsidRPr="00036D26">
        <w:rPr>
          <w:rFonts w:asciiTheme="minorHAnsi" w:hAnsiTheme="minorHAnsi" w:cstheme="majorBidi"/>
          <w:position w:val="-6"/>
          <w:sz w:val="24"/>
          <w:szCs w:val="24"/>
        </w:rPr>
        <w:t xml:space="preserve">%, </w:t>
      </w:r>
      <w:r w:rsidR="008D29A4">
        <w:rPr>
          <w:rFonts w:asciiTheme="minorHAnsi" w:hAnsiTheme="minorHAnsi" w:cstheme="majorBidi"/>
          <w:position w:val="-6"/>
          <w:sz w:val="24"/>
          <w:szCs w:val="24"/>
        </w:rPr>
        <w:t>2</w:t>
      </w:r>
      <w:r w:rsidR="002D5EFF">
        <w:rPr>
          <w:rFonts w:asciiTheme="minorHAnsi" w:hAnsiTheme="minorHAnsi" w:cstheme="majorBidi"/>
          <w:position w:val="-6"/>
          <w:sz w:val="24"/>
          <w:szCs w:val="24"/>
        </w:rPr>
        <w:t>8.6</w:t>
      </w:r>
      <w:r w:rsidRPr="00036D26">
        <w:rPr>
          <w:rFonts w:asciiTheme="minorHAnsi" w:hAnsiTheme="minorHAnsi" w:cstheme="majorBidi"/>
          <w:position w:val="-6"/>
          <w:sz w:val="24"/>
          <w:szCs w:val="24"/>
        </w:rPr>
        <w:t>%.</w:t>
      </w:r>
      <w:r w:rsidR="00577FA2">
        <w:rPr>
          <w:rFonts w:asciiTheme="minorHAnsi" w:hAnsiTheme="minorHAnsi" w:cstheme="majorBidi"/>
          <w:position w:val="-6"/>
          <w:sz w:val="24"/>
          <w:szCs w:val="24"/>
        </w:rPr>
        <w:t xml:space="preserve"> </w:t>
      </w:r>
    </w:p>
    <w:p w:rsidR="00285FE2" w:rsidRDefault="00285FE2" w:rsidP="002D5EFF">
      <w:pPr>
        <w:ind w:right="180"/>
        <w:jc w:val="both"/>
        <w:rPr>
          <w:rFonts w:asciiTheme="minorHAnsi" w:hAnsiTheme="minorHAnsi" w:cstheme="majorBidi"/>
          <w:position w:val="-6"/>
          <w:sz w:val="24"/>
          <w:szCs w:val="24"/>
        </w:rPr>
      </w:pPr>
    </w:p>
    <w:p w:rsidR="00285FE2" w:rsidRDefault="00285FE2" w:rsidP="002D5EFF">
      <w:pPr>
        <w:ind w:right="180"/>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Les accidents de la circulation routière ont représenté </w:t>
      </w:r>
      <w:r>
        <w:rPr>
          <w:rFonts w:asciiTheme="minorHAnsi" w:hAnsiTheme="minorHAnsi" w:cstheme="majorBidi"/>
          <w:position w:val="-6"/>
          <w:sz w:val="24"/>
          <w:szCs w:val="24"/>
        </w:rPr>
        <w:t>38.8%</w:t>
      </w:r>
      <w:r w:rsidRPr="00036D26">
        <w:rPr>
          <w:rFonts w:asciiTheme="minorHAnsi" w:hAnsiTheme="minorHAnsi" w:cstheme="majorBidi"/>
          <w:position w:val="-6"/>
          <w:sz w:val="24"/>
          <w:szCs w:val="24"/>
        </w:rPr>
        <w:t xml:space="preserve"> des causes extérieures relatives aux traumatismes (tableau 5).</w:t>
      </w:r>
      <w:r>
        <w:rPr>
          <w:rFonts w:asciiTheme="minorHAnsi" w:hAnsiTheme="minorHAnsi" w:cstheme="majorBidi"/>
          <w:position w:val="-6"/>
          <w:sz w:val="24"/>
          <w:szCs w:val="24"/>
        </w:rPr>
        <w:t xml:space="preserve"> Néanmoins </w:t>
      </w:r>
      <w:r w:rsidRPr="00036D26">
        <w:rPr>
          <w:rFonts w:asciiTheme="minorHAnsi" w:hAnsiTheme="minorHAnsi" w:cstheme="majorBidi"/>
          <w:position w:val="-6"/>
          <w:sz w:val="24"/>
          <w:szCs w:val="24"/>
        </w:rPr>
        <w:t xml:space="preserve">une surreprésentation des accidents de la route pourrait </w:t>
      </w:r>
      <w:r>
        <w:rPr>
          <w:rFonts w:asciiTheme="minorHAnsi" w:hAnsiTheme="minorHAnsi" w:cstheme="majorBidi"/>
          <w:position w:val="-6"/>
          <w:sz w:val="24"/>
          <w:szCs w:val="24"/>
        </w:rPr>
        <w:t xml:space="preserve">être </w:t>
      </w:r>
      <w:r w:rsidRPr="00036D26">
        <w:rPr>
          <w:rFonts w:asciiTheme="minorHAnsi" w:hAnsiTheme="minorHAnsi" w:cstheme="majorBidi"/>
          <w:position w:val="-6"/>
          <w:sz w:val="24"/>
          <w:szCs w:val="24"/>
        </w:rPr>
        <w:t>introduite par les libellés peu précis des dossiers médicaux (un accident de la voie publique n’est pas forcément un accident de la route).</w:t>
      </w:r>
    </w:p>
    <w:p w:rsidR="002A0B5D" w:rsidRPr="00036D26" w:rsidRDefault="002A0B5D" w:rsidP="004B5943">
      <w:pPr>
        <w:ind w:right="180"/>
        <w:jc w:val="both"/>
        <w:rPr>
          <w:rFonts w:asciiTheme="minorHAnsi" w:hAnsiTheme="minorHAnsi" w:cstheme="majorBidi"/>
          <w:position w:val="-6"/>
          <w:sz w:val="24"/>
          <w:szCs w:val="24"/>
        </w:rPr>
      </w:pPr>
    </w:p>
    <w:p w:rsidR="00046E31" w:rsidRPr="0081151C" w:rsidRDefault="00573A34" w:rsidP="002D5EFF">
      <w:pPr>
        <w:ind w:right="180"/>
        <w:jc w:val="center"/>
        <w:rPr>
          <w:rFonts w:asciiTheme="minorHAnsi" w:hAnsiTheme="minorHAnsi" w:cstheme="majorBidi"/>
          <w:position w:val="-6"/>
          <w:sz w:val="24"/>
          <w:szCs w:val="24"/>
        </w:rPr>
      </w:pPr>
      <w:r w:rsidRPr="0081151C">
        <w:rPr>
          <w:rFonts w:asciiTheme="minorHAnsi" w:hAnsiTheme="minorHAnsi" w:cstheme="majorBidi"/>
          <w:position w:val="-6"/>
          <w:sz w:val="24"/>
          <w:szCs w:val="24"/>
          <w:u w:val="single"/>
        </w:rPr>
        <w:t>Tableau 5.</w:t>
      </w:r>
      <w:r w:rsidRPr="0081151C">
        <w:rPr>
          <w:rFonts w:asciiTheme="minorHAnsi" w:hAnsiTheme="minorHAnsi" w:cstheme="majorBidi"/>
          <w:position w:val="-6"/>
          <w:sz w:val="24"/>
          <w:szCs w:val="24"/>
        </w:rPr>
        <w:t xml:space="preserve"> Répartition des </w:t>
      </w:r>
      <w:r w:rsidR="007857D7" w:rsidRPr="0081151C">
        <w:rPr>
          <w:rFonts w:asciiTheme="minorHAnsi" w:hAnsiTheme="minorHAnsi" w:cstheme="majorBidi"/>
          <w:position w:val="-6"/>
          <w:sz w:val="24"/>
          <w:szCs w:val="24"/>
        </w:rPr>
        <w:t>1</w:t>
      </w:r>
      <w:r w:rsidR="002E69C2" w:rsidRPr="0081151C">
        <w:rPr>
          <w:rFonts w:asciiTheme="minorHAnsi" w:hAnsiTheme="minorHAnsi" w:cstheme="majorBidi"/>
          <w:position w:val="-6"/>
          <w:sz w:val="24"/>
          <w:szCs w:val="24"/>
        </w:rPr>
        <w:t>6</w:t>
      </w:r>
      <w:r w:rsidR="002D5EFF">
        <w:rPr>
          <w:rFonts w:asciiTheme="minorHAnsi" w:hAnsiTheme="minorHAnsi" w:cstheme="majorBidi"/>
          <w:position w:val="-6"/>
          <w:sz w:val="24"/>
          <w:szCs w:val="24"/>
        </w:rPr>
        <w:t>5</w:t>
      </w:r>
      <w:r w:rsidRPr="0081151C">
        <w:rPr>
          <w:rFonts w:asciiTheme="minorHAnsi" w:hAnsiTheme="minorHAnsi" w:cstheme="majorBidi"/>
          <w:position w:val="-6"/>
          <w:sz w:val="24"/>
          <w:szCs w:val="24"/>
        </w:rPr>
        <w:t xml:space="preserve"> décès o</w:t>
      </w:r>
      <w:r w:rsidR="004B1D86" w:rsidRPr="0081151C">
        <w:rPr>
          <w:rFonts w:asciiTheme="minorHAnsi" w:hAnsiTheme="minorHAnsi" w:cstheme="majorBidi"/>
          <w:position w:val="-6"/>
          <w:sz w:val="24"/>
          <w:szCs w:val="24"/>
        </w:rPr>
        <w:t xml:space="preserve">ccasionnés par les traumatismes </w:t>
      </w:r>
      <w:r w:rsidRPr="0081151C">
        <w:rPr>
          <w:rFonts w:asciiTheme="minorHAnsi" w:hAnsiTheme="minorHAnsi" w:cstheme="majorBidi"/>
          <w:position w:val="-6"/>
          <w:sz w:val="24"/>
          <w:szCs w:val="24"/>
        </w:rPr>
        <w:t>et les empoisonnements en fonction de la cause ext</w:t>
      </w:r>
      <w:r w:rsidR="00227518" w:rsidRPr="0081151C">
        <w:rPr>
          <w:rFonts w:asciiTheme="minorHAnsi" w:hAnsiTheme="minorHAnsi" w:cstheme="majorBidi"/>
          <w:position w:val="-6"/>
          <w:sz w:val="24"/>
          <w:szCs w:val="24"/>
        </w:rPr>
        <w:t xml:space="preserve">érieure et de la durée de </w:t>
      </w:r>
      <w:r w:rsidR="00983D87" w:rsidRPr="0081151C">
        <w:rPr>
          <w:rFonts w:asciiTheme="minorHAnsi" w:hAnsiTheme="minorHAnsi" w:cstheme="majorBidi"/>
          <w:position w:val="-6"/>
          <w:sz w:val="24"/>
          <w:szCs w:val="24"/>
        </w:rPr>
        <w:t>séjour</w:t>
      </w:r>
    </w:p>
    <w:p w:rsidR="00573A34" w:rsidRPr="0081151C" w:rsidRDefault="00983D87" w:rsidP="008D29A4">
      <w:pPr>
        <w:ind w:right="180"/>
        <w:jc w:val="center"/>
        <w:rPr>
          <w:rFonts w:asciiTheme="minorHAnsi" w:hAnsiTheme="minorHAnsi" w:cstheme="majorBidi"/>
          <w:b/>
          <w:bCs/>
          <w:position w:val="-6"/>
          <w:sz w:val="24"/>
          <w:szCs w:val="24"/>
        </w:rPr>
      </w:pPr>
      <w:r w:rsidRPr="0081151C">
        <w:rPr>
          <w:rFonts w:asciiTheme="minorHAnsi" w:hAnsiTheme="minorHAnsi" w:cstheme="majorBidi"/>
          <w:position w:val="-6"/>
          <w:sz w:val="24"/>
          <w:szCs w:val="24"/>
        </w:rPr>
        <w:t>(</w:t>
      </w:r>
      <w:r w:rsidR="00DC718D" w:rsidRPr="0081151C">
        <w:rPr>
          <w:rFonts w:asciiTheme="minorHAnsi" w:hAnsiTheme="minorHAnsi" w:cstheme="majorBidi"/>
          <w:position w:val="-6"/>
          <w:sz w:val="24"/>
          <w:szCs w:val="24"/>
        </w:rPr>
        <w:t>Année</w:t>
      </w:r>
      <w:r w:rsidR="00E42C25" w:rsidRPr="0081151C">
        <w:rPr>
          <w:rFonts w:asciiTheme="minorHAnsi" w:hAnsiTheme="minorHAnsi" w:cstheme="majorBidi"/>
          <w:position w:val="-6"/>
          <w:sz w:val="24"/>
          <w:szCs w:val="24"/>
        </w:rPr>
        <w:t xml:space="preserve"> 201</w:t>
      </w:r>
      <w:r w:rsidR="008D29A4">
        <w:rPr>
          <w:rFonts w:asciiTheme="minorHAnsi" w:hAnsiTheme="minorHAnsi" w:cstheme="majorBidi"/>
          <w:position w:val="-6"/>
          <w:sz w:val="24"/>
          <w:szCs w:val="24"/>
        </w:rPr>
        <w:t>8</w:t>
      </w:r>
      <w:r w:rsidR="00573A34" w:rsidRPr="0081151C">
        <w:rPr>
          <w:rFonts w:asciiTheme="minorHAnsi" w:hAnsiTheme="minorHAnsi" w:cstheme="majorBidi"/>
          <w:b/>
          <w:bCs/>
          <w:position w:val="-6"/>
          <w:sz w:val="24"/>
          <w:szCs w:val="24"/>
        </w:rPr>
        <w:t>)</w:t>
      </w:r>
    </w:p>
    <w:p w:rsidR="001535B7" w:rsidRPr="0081151C" w:rsidRDefault="001535B7" w:rsidP="004B1D86">
      <w:pPr>
        <w:ind w:right="180"/>
        <w:jc w:val="center"/>
        <w:rPr>
          <w:rFonts w:asciiTheme="minorHAnsi" w:hAnsiTheme="minorHAnsi" w:cstheme="majorBidi"/>
          <w:b/>
          <w:bCs/>
          <w:position w:val="-6"/>
          <w:sz w:val="22"/>
          <w:szCs w:val="22"/>
        </w:rPr>
      </w:pPr>
    </w:p>
    <w:tbl>
      <w:tblPr>
        <w:tblStyle w:val="Listemoyenne2-Accent1"/>
        <w:tblW w:w="0" w:type="auto"/>
        <w:tblLook w:val="04A0"/>
      </w:tblPr>
      <w:tblGrid>
        <w:gridCol w:w="4846"/>
        <w:gridCol w:w="789"/>
        <w:gridCol w:w="787"/>
        <w:gridCol w:w="882"/>
        <w:gridCol w:w="880"/>
        <w:gridCol w:w="1387"/>
      </w:tblGrid>
      <w:tr w:rsidR="007A4849" w:rsidRPr="00FD3BFA" w:rsidTr="00D92535">
        <w:trPr>
          <w:cnfStyle w:val="100000000000"/>
          <w:trHeight w:val="287"/>
        </w:trPr>
        <w:tc>
          <w:tcPr>
            <w:cnfStyle w:val="001000000100"/>
            <w:tcW w:w="0" w:type="auto"/>
            <w:vMerge w:val="restart"/>
            <w:tcBorders>
              <w:top w:val="single" w:sz="4" w:space="0" w:color="auto"/>
              <w:left w:val="outset" w:sz="6" w:space="0" w:color="548DD4" w:themeColor="text2" w:themeTint="99"/>
              <w:bottom w:val="outset" w:sz="6" w:space="0" w:color="548DD4" w:themeColor="text2" w:themeTint="99"/>
            </w:tcBorders>
            <w:hideMark/>
          </w:tcPr>
          <w:p w:rsidR="007A4849" w:rsidRPr="00007021" w:rsidRDefault="007A4849" w:rsidP="00047271">
            <w:pPr>
              <w:overflowPunct/>
              <w:autoSpaceDE/>
              <w:autoSpaceDN/>
              <w:adjustRightInd/>
              <w:jc w:val="center"/>
              <w:textAlignment w:val="auto"/>
              <w:rPr>
                <w:rFonts w:asciiTheme="minorHAnsi" w:hAnsiTheme="minorHAnsi"/>
                <w:position w:val="-6"/>
                <w:sz w:val="20"/>
                <w:szCs w:val="20"/>
              </w:rPr>
            </w:pPr>
            <w:r w:rsidRPr="00007021">
              <w:rPr>
                <w:rFonts w:asciiTheme="minorHAnsi" w:hAnsiTheme="minorHAnsi"/>
                <w:position w:val="-6"/>
                <w:sz w:val="20"/>
                <w:szCs w:val="20"/>
              </w:rPr>
              <w:t>Cause extérieure</w:t>
            </w:r>
          </w:p>
        </w:tc>
        <w:tc>
          <w:tcPr>
            <w:tcW w:w="0" w:type="auto"/>
            <w:gridSpan w:val="2"/>
            <w:tcBorders>
              <w:top w:val="single" w:sz="4" w:space="0" w:color="auto"/>
              <w:bottom w:val="outset" w:sz="6" w:space="0" w:color="548DD4" w:themeColor="text2" w:themeTint="99"/>
            </w:tcBorders>
            <w:hideMark/>
          </w:tcPr>
          <w:p w:rsidR="007A4849" w:rsidRPr="00FD3BFA" w:rsidRDefault="007A4849" w:rsidP="00047271">
            <w:pPr>
              <w:overflowPunct/>
              <w:autoSpaceDE/>
              <w:autoSpaceDN/>
              <w:adjustRightInd/>
              <w:jc w:val="center"/>
              <w:textAlignment w:val="auto"/>
              <w:cnfStyle w:val="100000000000"/>
              <w:rPr>
                <w:rFonts w:asciiTheme="minorHAnsi" w:hAnsiTheme="minorHAnsi"/>
                <w:i/>
                <w:iCs/>
                <w:position w:val="-6"/>
                <w:sz w:val="20"/>
                <w:szCs w:val="20"/>
              </w:rPr>
            </w:pPr>
            <w:r w:rsidRPr="00FD3BFA">
              <w:rPr>
                <w:rFonts w:asciiTheme="minorHAnsi" w:hAnsiTheme="minorHAnsi"/>
                <w:i/>
                <w:iCs/>
                <w:position w:val="-6"/>
                <w:sz w:val="20"/>
                <w:szCs w:val="20"/>
              </w:rPr>
              <w:t>Décès</w:t>
            </w:r>
          </w:p>
        </w:tc>
        <w:tc>
          <w:tcPr>
            <w:tcW w:w="0" w:type="auto"/>
            <w:gridSpan w:val="2"/>
            <w:tcBorders>
              <w:top w:val="single" w:sz="4" w:space="0" w:color="auto"/>
              <w:bottom w:val="outset" w:sz="6" w:space="0" w:color="548DD4" w:themeColor="text2" w:themeTint="99"/>
            </w:tcBorders>
            <w:hideMark/>
          </w:tcPr>
          <w:p w:rsidR="007A4849" w:rsidRPr="00FD3BFA" w:rsidRDefault="007A4849" w:rsidP="00047271">
            <w:pPr>
              <w:overflowPunct/>
              <w:autoSpaceDE/>
              <w:autoSpaceDN/>
              <w:adjustRightInd/>
              <w:jc w:val="center"/>
              <w:textAlignment w:val="auto"/>
              <w:cnfStyle w:val="100000000000"/>
              <w:rPr>
                <w:rFonts w:asciiTheme="minorHAnsi" w:hAnsiTheme="minorHAnsi"/>
                <w:i/>
                <w:iCs/>
                <w:position w:val="-6"/>
                <w:sz w:val="20"/>
                <w:szCs w:val="20"/>
              </w:rPr>
            </w:pPr>
            <w:r w:rsidRPr="00FD3BFA">
              <w:rPr>
                <w:rFonts w:asciiTheme="minorHAnsi" w:hAnsiTheme="minorHAnsi"/>
                <w:i/>
                <w:iCs/>
                <w:position w:val="-6"/>
                <w:sz w:val="20"/>
                <w:szCs w:val="20"/>
              </w:rPr>
              <w:t>Journées consommées</w:t>
            </w:r>
          </w:p>
        </w:tc>
        <w:tc>
          <w:tcPr>
            <w:tcW w:w="0" w:type="auto"/>
            <w:vMerge w:val="restart"/>
            <w:tcBorders>
              <w:top w:val="single" w:sz="4" w:space="0" w:color="auto"/>
              <w:right w:val="outset" w:sz="6" w:space="0" w:color="548DD4" w:themeColor="text2" w:themeTint="99"/>
            </w:tcBorders>
            <w:hideMark/>
          </w:tcPr>
          <w:p w:rsidR="007A4849" w:rsidRPr="00FD3BFA" w:rsidRDefault="007A4849" w:rsidP="00047271">
            <w:pPr>
              <w:overflowPunct/>
              <w:autoSpaceDE/>
              <w:autoSpaceDN/>
              <w:adjustRightInd/>
              <w:jc w:val="center"/>
              <w:textAlignment w:val="auto"/>
              <w:cnfStyle w:val="100000000000"/>
              <w:rPr>
                <w:rFonts w:asciiTheme="minorHAnsi" w:hAnsiTheme="minorHAnsi"/>
                <w:i/>
                <w:iCs/>
                <w:position w:val="-6"/>
                <w:sz w:val="20"/>
                <w:szCs w:val="20"/>
              </w:rPr>
            </w:pPr>
            <w:r w:rsidRPr="00FD3BFA">
              <w:rPr>
                <w:rFonts w:asciiTheme="minorHAnsi" w:hAnsiTheme="minorHAnsi"/>
                <w:i/>
                <w:iCs/>
                <w:position w:val="-6"/>
                <w:sz w:val="20"/>
                <w:szCs w:val="20"/>
              </w:rPr>
              <w:t>Médiane de</w:t>
            </w:r>
          </w:p>
          <w:p w:rsidR="007A4849" w:rsidRPr="00FD3BFA" w:rsidRDefault="007A4849" w:rsidP="00047271">
            <w:pPr>
              <w:jc w:val="center"/>
              <w:cnfStyle w:val="100000000000"/>
              <w:rPr>
                <w:rFonts w:asciiTheme="minorHAnsi" w:hAnsiTheme="minorHAnsi"/>
                <w:i/>
                <w:iCs/>
                <w:position w:val="-6"/>
                <w:sz w:val="20"/>
                <w:szCs w:val="20"/>
              </w:rPr>
            </w:pPr>
            <w:r w:rsidRPr="00FD3BFA">
              <w:rPr>
                <w:rFonts w:asciiTheme="minorHAnsi" w:hAnsiTheme="minorHAnsi"/>
                <w:i/>
                <w:iCs/>
                <w:position w:val="-6"/>
                <w:sz w:val="20"/>
                <w:szCs w:val="20"/>
              </w:rPr>
              <w:t>durée de séjour (jours)</w:t>
            </w:r>
          </w:p>
        </w:tc>
      </w:tr>
      <w:tr w:rsidR="007A4849" w:rsidRPr="00FD3BFA" w:rsidTr="00D92535">
        <w:trPr>
          <w:cnfStyle w:val="000000100000"/>
          <w:trHeight w:val="353"/>
        </w:trPr>
        <w:tc>
          <w:tcPr>
            <w:cnfStyle w:val="001000000000"/>
            <w:tcW w:w="0" w:type="auto"/>
            <w:vMerge/>
            <w:tcBorders>
              <w:top w:val="outset" w:sz="6" w:space="0" w:color="548DD4" w:themeColor="text2" w:themeTint="99"/>
              <w:left w:val="outset" w:sz="6" w:space="0" w:color="548DD4" w:themeColor="text2" w:themeTint="99"/>
              <w:bottom w:val="outset" w:sz="6" w:space="0" w:color="548DD4" w:themeColor="text2" w:themeTint="99"/>
            </w:tcBorders>
            <w:hideMark/>
          </w:tcPr>
          <w:p w:rsidR="007A4849" w:rsidRPr="00007021" w:rsidRDefault="007A4849" w:rsidP="00047271">
            <w:pPr>
              <w:overflowPunct/>
              <w:autoSpaceDE/>
              <w:autoSpaceDN/>
              <w:adjustRightInd/>
              <w:jc w:val="center"/>
              <w:textAlignment w:val="auto"/>
              <w:rPr>
                <w:rFonts w:asciiTheme="minorHAnsi" w:hAnsiTheme="minorHAnsi"/>
                <w:position w:val="-6"/>
              </w:rPr>
            </w:pPr>
          </w:p>
        </w:tc>
        <w:tc>
          <w:tcPr>
            <w:tcW w:w="0" w:type="auto"/>
            <w:tcBorders>
              <w:top w:val="outset" w:sz="6" w:space="0" w:color="548DD4" w:themeColor="text2" w:themeTint="99"/>
              <w:bottom w:val="outset" w:sz="6" w:space="0" w:color="548DD4" w:themeColor="text2" w:themeTint="99"/>
            </w:tcBorders>
            <w:hideMark/>
          </w:tcPr>
          <w:p w:rsidR="007A4849" w:rsidRPr="00FD3BFA" w:rsidRDefault="007A4849" w:rsidP="00047271">
            <w:pPr>
              <w:overflowPunct/>
              <w:autoSpaceDE/>
              <w:autoSpaceDN/>
              <w:adjustRightInd/>
              <w:jc w:val="center"/>
              <w:textAlignment w:val="auto"/>
              <w:cnfStyle w:val="000000100000"/>
              <w:rPr>
                <w:rFonts w:asciiTheme="minorHAnsi" w:hAnsiTheme="minorHAnsi"/>
                <w:i/>
                <w:iCs/>
                <w:position w:val="-6"/>
              </w:rPr>
            </w:pPr>
            <w:r w:rsidRPr="00FD3BFA">
              <w:rPr>
                <w:rFonts w:asciiTheme="minorHAnsi" w:hAnsiTheme="minorHAnsi"/>
                <w:i/>
                <w:iCs/>
                <w:position w:val="-6"/>
              </w:rPr>
              <w:t>Effectif</w:t>
            </w:r>
          </w:p>
        </w:tc>
        <w:tc>
          <w:tcPr>
            <w:tcW w:w="0" w:type="auto"/>
            <w:tcBorders>
              <w:top w:val="outset" w:sz="6" w:space="0" w:color="548DD4" w:themeColor="text2" w:themeTint="99"/>
              <w:bottom w:val="outset" w:sz="6" w:space="0" w:color="548DD4" w:themeColor="text2" w:themeTint="99"/>
            </w:tcBorders>
            <w:hideMark/>
          </w:tcPr>
          <w:p w:rsidR="007A4849" w:rsidRPr="00FD3BFA" w:rsidRDefault="007A4849" w:rsidP="00047271">
            <w:pPr>
              <w:overflowPunct/>
              <w:autoSpaceDE/>
              <w:autoSpaceDN/>
              <w:adjustRightInd/>
              <w:jc w:val="center"/>
              <w:textAlignment w:val="auto"/>
              <w:cnfStyle w:val="000000100000"/>
              <w:rPr>
                <w:rFonts w:asciiTheme="minorHAnsi" w:hAnsiTheme="minorHAnsi"/>
                <w:i/>
                <w:iCs/>
                <w:position w:val="-6"/>
              </w:rPr>
            </w:pPr>
            <w:r w:rsidRPr="00FD3BFA">
              <w:rPr>
                <w:rFonts w:asciiTheme="minorHAnsi" w:hAnsiTheme="minorHAnsi"/>
                <w:i/>
                <w:iCs/>
                <w:position w:val="-6"/>
              </w:rPr>
              <w:t>%</w:t>
            </w:r>
          </w:p>
        </w:tc>
        <w:tc>
          <w:tcPr>
            <w:tcW w:w="0" w:type="auto"/>
            <w:tcBorders>
              <w:top w:val="outset" w:sz="6" w:space="0" w:color="548DD4" w:themeColor="text2" w:themeTint="99"/>
              <w:bottom w:val="outset" w:sz="6" w:space="0" w:color="548DD4" w:themeColor="text2" w:themeTint="99"/>
            </w:tcBorders>
            <w:hideMark/>
          </w:tcPr>
          <w:p w:rsidR="007A4849" w:rsidRPr="00FD3BFA" w:rsidRDefault="007A4849" w:rsidP="00047271">
            <w:pPr>
              <w:overflowPunct/>
              <w:autoSpaceDE/>
              <w:autoSpaceDN/>
              <w:adjustRightInd/>
              <w:jc w:val="center"/>
              <w:textAlignment w:val="auto"/>
              <w:cnfStyle w:val="000000100000"/>
              <w:rPr>
                <w:rFonts w:asciiTheme="minorHAnsi" w:hAnsiTheme="minorHAnsi"/>
                <w:i/>
                <w:iCs/>
                <w:position w:val="-6"/>
              </w:rPr>
            </w:pPr>
            <w:r w:rsidRPr="00FD3BFA">
              <w:rPr>
                <w:rFonts w:asciiTheme="minorHAnsi" w:hAnsiTheme="minorHAnsi"/>
                <w:i/>
                <w:iCs/>
                <w:position w:val="-6"/>
              </w:rPr>
              <w:t>Effectif</w:t>
            </w:r>
          </w:p>
        </w:tc>
        <w:tc>
          <w:tcPr>
            <w:tcW w:w="0" w:type="auto"/>
            <w:tcBorders>
              <w:top w:val="outset" w:sz="6" w:space="0" w:color="548DD4" w:themeColor="text2" w:themeTint="99"/>
              <w:bottom w:val="outset" w:sz="6" w:space="0" w:color="548DD4" w:themeColor="text2" w:themeTint="99"/>
            </w:tcBorders>
            <w:hideMark/>
          </w:tcPr>
          <w:p w:rsidR="007A4849" w:rsidRPr="00FD3BFA" w:rsidRDefault="007A4849" w:rsidP="00047271">
            <w:pPr>
              <w:overflowPunct/>
              <w:autoSpaceDE/>
              <w:autoSpaceDN/>
              <w:adjustRightInd/>
              <w:jc w:val="center"/>
              <w:textAlignment w:val="auto"/>
              <w:cnfStyle w:val="000000100000"/>
              <w:rPr>
                <w:rFonts w:asciiTheme="minorHAnsi" w:hAnsiTheme="minorHAnsi"/>
                <w:i/>
                <w:iCs/>
                <w:position w:val="-6"/>
              </w:rPr>
            </w:pPr>
            <w:r w:rsidRPr="00FD3BFA">
              <w:rPr>
                <w:rFonts w:asciiTheme="minorHAnsi" w:hAnsiTheme="minorHAnsi"/>
                <w:i/>
                <w:iCs/>
                <w:position w:val="-6"/>
              </w:rPr>
              <w:t>%</w:t>
            </w:r>
          </w:p>
        </w:tc>
        <w:tc>
          <w:tcPr>
            <w:tcW w:w="0" w:type="auto"/>
            <w:vMerge/>
            <w:tcBorders>
              <w:bottom w:val="outset" w:sz="6" w:space="0" w:color="548DD4" w:themeColor="text2" w:themeTint="99"/>
              <w:right w:val="outset" w:sz="6" w:space="0" w:color="548DD4" w:themeColor="text2" w:themeTint="99"/>
            </w:tcBorders>
            <w:hideMark/>
          </w:tcPr>
          <w:p w:rsidR="007A4849" w:rsidRPr="00FD3BFA" w:rsidRDefault="007A4849" w:rsidP="00047271">
            <w:pPr>
              <w:overflowPunct/>
              <w:autoSpaceDE/>
              <w:autoSpaceDN/>
              <w:adjustRightInd/>
              <w:jc w:val="center"/>
              <w:textAlignment w:val="auto"/>
              <w:cnfStyle w:val="000000100000"/>
              <w:rPr>
                <w:rFonts w:asciiTheme="minorHAnsi" w:hAnsiTheme="minorHAnsi"/>
                <w:i/>
                <w:iCs/>
                <w:position w:val="-6"/>
              </w:rPr>
            </w:pPr>
          </w:p>
        </w:tc>
      </w:tr>
      <w:tr w:rsidR="002D5EFF" w:rsidRPr="00FD3BFA" w:rsidTr="003F23E1">
        <w:trPr>
          <w:trHeight w:val="360"/>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sidRPr="006D0FE6">
              <w:rPr>
                <w:rFonts w:ascii="Arial" w:hAnsi="Arial" w:cs="Arial"/>
                <w:color w:val="000000"/>
                <w:sz w:val="18"/>
                <w:szCs w:val="18"/>
              </w:rPr>
              <w:t>Autres accidents de transport terrestre</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64</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38,8</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501</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48,1</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3,0</w:t>
            </w:r>
          </w:p>
        </w:tc>
      </w:tr>
      <w:tr w:rsidR="002D5EFF" w:rsidRPr="00FD3BFA" w:rsidTr="003F23E1">
        <w:trPr>
          <w:cnfStyle w:val="000000100000"/>
          <w:trHeight w:val="360"/>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sidRPr="006D0FE6">
              <w:rPr>
                <w:rFonts w:ascii="Arial" w:hAnsi="Arial" w:cs="Arial"/>
                <w:color w:val="000000"/>
                <w:sz w:val="18"/>
                <w:szCs w:val="18"/>
              </w:rPr>
              <w:t>Exposition accidentelle à des facteurs, autres et sans précision</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59</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35,8</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312</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30,0</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3,0</w:t>
            </w:r>
          </w:p>
        </w:tc>
      </w:tr>
      <w:tr w:rsidR="002D5EFF" w:rsidRPr="00FD3BFA" w:rsidTr="003F23E1">
        <w:trPr>
          <w:trHeight w:val="360"/>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sidRPr="006D0FE6">
              <w:rPr>
                <w:rFonts w:ascii="Arial" w:hAnsi="Arial" w:cs="Arial"/>
                <w:color w:val="000000"/>
                <w:sz w:val="18"/>
                <w:szCs w:val="18"/>
              </w:rPr>
              <w:t>Chutes</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25</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15,2</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136</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13,1</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2,0</w:t>
            </w:r>
          </w:p>
        </w:tc>
      </w:tr>
      <w:tr w:rsidR="002D5EFF" w:rsidRPr="00FD3BFA" w:rsidTr="003F23E1">
        <w:trPr>
          <w:cnfStyle w:val="000000100000"/>
          <w:trHeight w:val="360"/>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sidRPr="006D0FE6">
              <w:rPr>
                <w:rFonts w:ascii="Arial" w:hAnsi="Arial" w:cs="Arial"/>
                <w:color w:val="000000"/>
                <w:sz w:val="18"/>
                <w:szCs w:val="18"/>
              </w:rPr>
              <w:t>Agressions</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5</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3,0</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22</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2,1</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4,0</w:t>
            </w:r>
          </w:p>
        </w:tc>
      </w:tr>
      <w:tr w:rsidR="002D5EFF" w:rsidRPr="00FD3BFA" w:rsidTr="003F23E1">
        <w:trPr>
          <w:trHeight w:val="500"/>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sidRPr="006D0FE6">
              <w:rPr>
                <w:rFonts w:ascii="Arial" w:hAnsi="Arial" w:cs="Arial"/>
                <w:color w:val="000000"/>
                <w:sz w:val="18"/>
                <w:szCs w:val="18"/>
              </w:rPr>
              <w:t>Lésions auto-infligées</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5</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3,0</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32</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3,1</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3,0</w:t>
            </w:r>
          </w:p>
        </w:tc>
      </w:tr>
      <w:tr w:rsidR="002D5EFF" w:rsidRPr="00FD3BFA" w:rsidTr="003F23E1">
        <w:trPr>
          <w:cnfStyle w:val="000000100000"/>
          <w:trHeight w:val="103"/>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sidRPr="006D0FE6">
              <w:rPr>
                <w:rFonts w:ascii="Arial" w:hAnsi="Arial" w:cs="Arial"/>
                <w:color w:val="000000"/>
                <w:sz w:val="18"/>
                <w:szCs w:val="18"/>
              </w:rPr>
              <w:t>Médicaments et substances biologiques ayant provoqué des effets indésirables au cours de leur usage thérapeutique</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3</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1,8</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8</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0,8</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2,0</w:t>
            </w:r>
          </w:p>
        </w:tc>
      </w:tr>
      <w:tr w:rsidR="002D5EFF" w:rsidRPr="00FD3BFA" w:rsidTr="003F23E1">
        <w:trPr>
          <w:trHeight w:val="103"/>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sidRPr="006D0FE6">
              <w:rPr>
                <w:rFonts w:ascii="Arial" w:hAnsi="Arial" w:cs="Arial"/>
                <w:color w:val="000000"/>
                <w:sz w:val="18"/>
                <w:szCs w:val="18"/>
              </w:rPr>
              <w:t>Intoxication accidentelle par des substances nocives</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3</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1,8</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22</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2,1</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4,0</w:t>
            </w:r>
          </w:p>
        </w:tc>
      </w:tr>
      <w:tr w:rsidR="002D5EFF" w:rsidRPr="00FD3BFA" w:rsidTr="003F23E1">
        <w:trPr>
          <w:cnfStyle w:val="000000100000"/>
          <w:trHeight w:val="60"/>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sidRPr="006D0FE6">
              <w:rPr>
                <w:rFonts w:ascii="Arial" w:hAnsi="Arial" w:cs="Arial"/>
                <w:color w:val="000000"/>
                <w:sz w:val="18"/>
                <w:szCs w:val="18"/>
              </w:rPr>
              <w:t>Noyade et submersion accidentelles</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1</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0,6</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8</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0,8</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100000"/>
              <w:rPr>
                <w:rFonts w:ascii="Arial" w:hAnsi="Arial" w:cs="Arial"/>
                <w:color w:val="000000"/>
                <w:sz w:val="18"/>
                <w:szCs w:val="18"/>
              </w:rPr>
            </w:pPr>
            <w:r w:rsidRPr="0044507F">
              <w:rPr>
                <w:rFonts w:ascii="Arial" w:hAnsi="Arial" w:cs="Arial"/>
                <w:color w:val="000000"/>
                <w:sz w:val="18"/>
                <w:szCs w:val="18"/>
              </w:rPr>
              <w:t>8,0</w:t>
            </w:r>
          </w:p>
        </w:tc>
      </w:tr>
      <w:tr w:rsidR="002D5EFF" w:rsidRPr="00FD3BFA" w:rsidTr="003F23E1">
        <w:trPr>
          <w:trHeight w:val="60"/>
        </w:trPr>
        <w:tc>
          <w:tcPr>
            <w:cnfStyle w:val="001000000000"/>
            <w:tcW w:w="0" w:type="auto"/>
            <w:tcBorders>
              <w:top w:val="outset" w:sz="6" w:space="0" w:color="548DD4" w:themeColor="text2" w:themeTint="99"/>
              <w:left w:val="outset" w:sz="6" w:space="0" w:color="548DD4" w:themeColor="text2" w:themeTint="99"/>
              <w:bottom w:val="outset" w:sz="6" w:space="0" w:color="548DD4" w:themeColor="text2" w:themeTint="99"/>
            </w:tcBorders>
          </w:tcPr>
          <w:p w:rsidR="002D5EFF" w:rsidRPr="006D0FE6" w:rsidRDefault="002D5EFF" w:rsidP="003F23E1">
            <w:pPr>
              <w:spacing w:line="320" w:lineRule="atLeast"/>
              <w:ind w:left="60" w:right="60"/>
              <w:rPr>
                <w:rFonts w:ascii="Arial" w:hAnsi="Arial" w:cs="Arial"/>
                <w:color w:val="000000"/>
                <w:sz w:val="18"/>
                <w:szCs w:val="18"/>
              </w:rPr>
            </w:pPr>
            <w:r>
              <w:rPr>
                <w:rFonts w:ascii="Arial" w:hAnsi="Arial" w:cs="Arial"/>
                <w:color w:val="000000"/>
                <w:sz w:val="18"/>
                <w:szCs w:val="18"/>
              </w:rPr>
              <w:t>Ensemble</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165</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100,0</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1041</w:t>
            </w:r>
          </w:p>
        </w:tc>
        <w:tc>
          <w:tcPr>
            <w:tcW w:w="0" w:type="auto"/>
            <w:tcBorders>
              <w:top w:val="outset" w:sz="6" w:space="0" w:color="548DD4" w:themeColor="text2" w:themeTint="99"/>
              <w:bottom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100,0</w:t>
            </w:r>
          </w:p>
        </w:tc>
        <w:tc>
          <w:tcPr>
            <w:tcW w:w="0" w:type="auto"/>
            <w:tcBorders>
              <w:top w:val="outset" w:sz="6" w:space="0" w:color="548DD4" w:themeColor="text2" w:themeTint="99"/>
              <w:bottom w:val="outset" w:sz="6" w:space="0" w:color="548DD4" w:themeColor="text2" w:themeTint="99"/>
              <w:right w:val="outset" w:sz="6" w:space="0" w:color="548DD4" w:themeColor="text2" w:themeTint="99"/>
            </w:tcBorders>
            <w:vAlign w:val="center"/>
          </w:tcPr>
          <w:p w:rsidR="002D5EFF" w:rsidRPr="0044507F" w:rsidRDefault="002D5EFF" w:rsidP="003F23E1">
            <w:pPr>
              <w:spacing w:line="320" w:lineRule="atLeast"/>
              <w:ind w:left="60" w:right="60"/>
              <w:jc w:val="right"/>
              <w:cnfStyle w:val="000000000000"/>
              <w:rPr>
                <w:rFonts w:ascii="Arial" w:hAnsi="Arial" w:cs="Arial"/>
                <w:color w:val="000000"/>
                <w:sz w:val="18"/>
                <w:szCs w:val="18"/>
              </w:rPr>
            </w:pPr>
            <w:r w:rsidRPr="0044507F">
              <w:rPr>
                <w:rFonts w:ascii="Arial" w:hAnsi="Arial" w:cs="Arial"/>
                <w:color w:val="000000"/>
                <w:sz w:val="18"/>
                <w:szCs w:val="18"/>
              </w:rPr>
              <w:t>3,0</w:t>
            </w:r>
          </w:p>
        </w:tc>
      </w:tr>
    </w:tbl>
    <w:p w:rsidR="00727EF7" w:rsidRPr="00036D26" w:rsidRDefault="00727EF7" w:rsidP="00D430C5">
      <w:pPr>
        <w:ind w:right="180"/>
        <w:jc w:val="both"/>
        <w:rPr>
          <w:rFonts w:asciiTheme="minorHAnsi" w:hAnsiTheme="minorHAnsi" w:cstheme="majorBidi"/>
          <w:position w:val="-6"/>
          <w:sz w:val="24"/>
          <w:szCs w:val="24"/>
        </w:rPr>
      </w:pPr>
    </w:p>
    <w:p w:rsidR="00BB41C2" w:rsidRPr="00036D26" w:rsidRDefault="00BB41C2" w:rsidP="002078DD">
      <w:pPr>
        <w:ind w:right="180"/>
        <w:jc w:val="both"/>
        <w:rPr>
          <w:rFonts w:asciiTheme="minorHAnsi" w:hAnsiTheme="minorHAnsi" w:cstheme="majorBidi"/>
          <w:position w:val="-6"/>
          <w:sz w:val="24"/>
          <w:szCs w:val="24"/>
        </w:rPr>
      </w:pPr>
    </w:p>
    <w:p w:rsidR="000673D8" w:rsidRPr="0081151C" w:rsidRDefault="000673D8">
      <w:pPr>
        <w:ind w:right="180"/>
        <w:rPr>
          <w:rFonts w:asciiTheme="minorHAnsi" w:hAnsiTheme="minorHAnsi" w:cstheme="majorBidi"/>
          <w:position w:val="-6"/>
          <w:sz w:val="52"/>
          <w:szCs w:val="52"/>
        </w:rPr>
      </w:pPr>
    </w:p>
    <w:p w:rsidR="00370CA5" w:rsidRDefault="007E1B22" w:rsidP="00370CA5">
      <w:pPr>
        <w:ind w:right="180"/>
        <w:jc w:val="both"/>
        <w:rPr>
          <w:rFonts w:asciiTheme="minorHAnsi" w:hAnsiTheme="minorHAnsi" w:cstheme="majorBidi"/>
          <w:position w:val="-6"/>
          <w:sz w:val="24"/>
          <w:szCs w:val="24"/>
        </w:rPr>
      </w:pPr>
      <w:r>
        <w:rPr>
          <w:rFonts w:asciiTheme="minorHAnsi" w:hAnsiTheme="minorHAnsi" w:cstheme="majorBidi"/>
          <w:position w:val="-6"/>
          <w:sz w:val="24"/>
          <w:szCs w:val="24"/>
        </w:rPr>
        <w:t xml:space="preserve">La proportion des </w:t>
      </w:r>
      <w:r w:rsidR="00573A34" w:rsidRPr="00036D26">
        <w:rPr>
          <w:rFonts w:asciiTheme="minorHAnsi" w:hAnsiTheme="minorHAnsi" w:cstheme="majorBidi"/>
          <w:position w:val="-6"/>
          <w:sz w:val="24"/>
          <w:szCs w:val="24"/>
        </w:rPr>
        <w:t xml:space="preserve">décès enregistrés </w:t>
      </w:r>
      <w:r w:rsidR="000673D8" w:rsidRPr="00036D26">
        <w:rPr>
          <w:rFonts w:asciiTheme="minorHAnsi" w:hAnsiTheme="minorHAnsi" w:cstheme="majorBidi"/>
          <w:position w:val="-6"/>
          <w:sz w:val="24"/>
          <w:szCs w:val="24"/>
        </w:rPr>
        <w:t xml:space="preserve">par accident de la circulation routière </w:t>
      </w:r>
      <w:r>
        <w:rPr>
          <w:rFonts w:asciiTheme="minorHAnsi" w:hAnsiTheme="minorHAnsi" w:cstheme="majorBidi"/>
          <w:position w:val="-6"/>
          <w:sz w:val="24"/>
          <w:szCs w:val="24"/>
        </w:rPr>
        <w:t xml:space="preserve">concernant les personnes </w:t>
      </w:r>
      <w:r w:rsidR="002179CA">
        <w:rPr>
          <w:rFonts w:asciiTheme="minorHAnsi" w:hAnsiTheme="minorHAnsi" w:cstheme="majorBidi"/>
          <w:position w:val="-6"/>
          <w:sz w:val="24"/>
          <w:szCs w:val="24"/>
        </w:rPr>
        <w:t>qui résidaient</w:t>
      </w:r>
      <w:r>
        <w:rPr>
          <w:rFonts w:asciiTheme="minorHAnsi" w:hAnsiTheme="minorHAnsi" w:cstheme="majorBidi"/>
          <w:position w:val="-6"/>
          <w:sz w:val="24"/>
          <w:szCs w:val="24"/>
        </w:rPr>
        <w:t xml:space="preserve"> dans la wilaya de Blida était de </w:t>
      </w:r>
      <w:r w:rsidRPr="00036D26">
        <w:rPr>
          <w:rFonts w:asciiTheme="minorHAnsi" w:hAnsiTheme="minorHAnsi" w:cstheme="majorBidi"/>
          <w:position w:val="-6"/>
          <w:sz w:val="24"/>
          <w:szCs w:val="24"/>
        </w:rPr>
        <w:t>3</w:t>
      </w:r>
      <w:r>
        <w:rPr>
          <w:rFonts w:asciiTheme="minorHAnsi" w:hAnsiTheme="minorHAnsi" w:cstheme="majorBidi"/>
          <w:position w:val="-6"/>
          <w:sz w:val="24"/>
          <w:szCs w:val="24"/>
        </w:rPr>
        <w:t>2</w:t>
      </w:r>
      <w:r w:rsidRPr="00036D26">
        <w:rPr>
          <w:rFonts w:asciiTheme="minorHAnsi" w:hAnsiTheme="minorHAnsi" w:cstheme="majorBidi"/>
          <w:position w:val="-6"/>
          <w:sz w:val="24"/>
          <w:szCs w:val="24"/>
        </w:rPr>
        <w:t>.</w:t>
      </w:r>
      <w:r w:rsidR="002078DD">
        <w:rPr>
          <w:rFonts w:asciiTheme="minorHAnsi" w:hAnsiTheme="minorHAnsi" w:cstheme="majorBidi"/>
          <w:position w:val="-6"/>
          <w:sz w:val="24"/>
          <w:szCs w:val="24"/>
        </w:rPr>
        <w:t>8</w:t>
      </w:r>
      <w:r w:rsidR="002C2A44">
        <w:rPr>
          <w:rFonts w:asciiTheme="minorHAnsi" w:hAnsiTheme="minorHAnsi" w:cstheme="majorBidi"/>
          <w:position w:val="-6"/>
          <w:sz w:val="24"/>
          <w:szCs w:val="24"/>
        </w:rPr>
        <w:t xml:space="preserve"> </w:t>
      </w:r>
      <w:r w:rsidR="00BC62E7">
        <w:rPr>
          <w:rFonts w:asciiTheme="minorHAnsi" w:hAnsiTheme="minorHAnsi" w:cstheme="majorBidi"/>
          <w:position w:val="-6"/>
          <w:sz w:val="24"/>
          <w:szCs w:val="24"/>
        </w:rPr>
        <w:t>%</w:t>
      </w:r>
      <w:r>
        <w:rPr>
          <w:rFonts w:asciiTheme="minorHAnsi" w:hAnsiTheme="minorHAnsi" w:cstheme="majorBidi"/>
          <w:position w:val="-6"/>
          <w:sz w:val="24"/>
          <w:szCs w:val="24"/>
        </w:rPr>
        <w:t xml:space="preserve"> contre</w:t>
      </w:r>
      <w:r w:rsidR="002C2A44">
        <w:rPr>
          <w:rFonts w:asciiTheme="minorHAnsi" w:hAnsiTheme="minorHAnsi" w:cstheme="majorBidi"/>
          <w:position w:val="-6"/>
          <w:sz w:val="24"/>
          <w:szCs w:val="24"/>
        </w:rPr>
        <w:t xml:space="preserve"> </w:t>
      </w:r>
      <w:r w:rsidR="000673D8" w:rsidRPr="00036D26">
        <w:rPr>
          <w:rFonts w:asciiTheme="minorHAnsi" w:hAnsiTheme="minorHAnsi" w:cstheme="majorBidi"/>
          <w:position w:val="-6"/>
          <w:sz w:val="24"/>
          <w:szCs w:val="24"/>
        </w:rPr>
        <w:t>6</w:t>
      </w:r>
      <w:r w:rsidR="00DC516B">
        <w:rPr>
          <w:rFonts w:asciiTheme="minorHAnsi" w:hAnsiTheme="minorHAnsi" w:cstheme="majorBidi"/>
          <w:position w:val="-6"/>
          <w:sz w:val="24"/>
          <w:szCs w:val="24"/>
        </w:rPr>
        <w:t>7</w:t>
      </w:r>
      <w:r w:rsidR="00B1451B">
        <w:rPr>
          <w:rFonts w:asciiTheme="minorHAnsi" w:hAnsiTheme="minorHAnsi" w:cstheme="majorBidi"/>
          <w:position w:val="-6"/>
          <w:sz w:val="24"/>
          <w:szCs w:val="24"/>
        </w:rPr>
        <w:t>.</w:t>
      </w:r>
      <w:r w:rsidR="002078DD">
        <w:rPr>
          <w:rFonts w:asciiTheme="minorHAnsi" w:hAnsiTheme="minorHAnsi" w:cstheme="majorBidi"/>
          <w:position w:val="-6"/>
          <w:sz w:val="24"/>
          <w:szCs w:val="24"/>
        </w:rPr>
        <w:t>2</w:t>
      </w:r>
      <w:r w:rsidR="002C2A44">
        <w:rPr>
          <w:rFonts w:asciiTheme="minorHAnsi" w:hAnsiTheme="minorHAnsi" w:cstheme="majorBidi"/>
          <w:position w:val="-6"/>
          <w:sz w:val="24"/>
          <w:szCs w:val="24"/>
        </w:rPr>
        <w:t xml:space="preserve"> </w:t>
      </w:r>
      <w:r w:rsidR="00BC62E7">
        <w:rPr>
          <w:rFonts w:asciiTheme="minorHAnsi" w:hAnsiTheme="minorHAnsi" w:cstheme="majorBidi"/>
          <w:position w:val="-6"/>
          <w:sz w:val="24"/>
          <w:szCs w:val="24"/>
        </w:rPr>
        <w:t xml:space="preserve">% </w:t>
      </w:r>
      <w:r>
        <w:rPr>
          <w:rFonts w:asciiTheme="minorHAnsi" w:hAnsiTheme="minorHAnsi" w:cstheme="majorBidi"/>
          <w:position w:val="-6"/>
          <w:sz w:val="24"/>
          <w:szCs w:val="24"/>
        </w:rPr>
        <w:t xml:space="preserve">pour les personnes </w:t>
      </w:r>
      <w:r w:rsidR="00573A34" w:rsidRPr="00036D26">
        <w:rPr>
          <w:rFonts w:asciiTheme="minorHAnsi" w:hAnsiTheme="minorHAnsi" w:cstheme="majorBidi"/>
          <w:position w:val="-6"/>
          <w:sz w:val="24"/>
          <w:szCs w:val="24"/>
        </w:rPr>
        <w:t xml:space="preserve">originaires d’autres </w:t>
      </w:r>
      <w:r w:rsidR="002078DD" w:rsidRPr="00036D26">
        <w:rPr>
          <w:rFonts w:asciiTheme="minorHAnsi" w:hAnsiTheme="minorHAnsi" w:cstheme="majorBidi"/>
          <w:position w:val="-6"/>
          <w:sz w:val="24"/>
          <w:szCs w:val="24"/>
        </w:rPr>
        <w:t>wilaya</w:t>
      </w:r>
      <w:r w:rsidR="002078DD">
        <w:rPr>
          <w:rFonts w:asciiTheme="minorHAnsi" w:hAnsiTheme="minorHAnsi" w:cstheme="majorBidi"/>
          <w:position w:val="-6"/>
          <w:sz w:val="24"/>
          <w:szCs w:val="24"/>
        </w:rPr>
        <w:t>s</w:t>
      </w:r>
      <w:r w:rsidR="00573A34" w:rsidRPr="00036D26">
        <w:rPr>
          <w:rFonts w:asciiTheme="minorHAnsi" w:hAnsiTheme="minorHAnsi" w:cstheme="majorBidi"/>
          <w:position w:val="-6"/>
          <w:sz w:val="24"/>
          <w:szCs w:val="24"/>
        </w:rPr>
        <w:t>.</w:t>
      </w:r>
      <w:r w:rsidR="00EB1AD8" w:rsidRPr="00036D26">
        <w:rPr>
          <w:rFonts w:asciiTheme="minorHAnsi" w:hAnsiTheme="minorHAnsi" w:cstheme="majorBidi"/>
          <w:position w:val="-6"/>
          <w:sz w:val="24"/>
          <w:szCs w:val="24"/>
        </w:rPr>
        <w:t xml:space="preserve"> Cela illustre la fonction de transit jouée par la wilaya de Blida</w:t>
      </w:r>
      <w:r w:rsidR="00370CA5">
        <w:rPr>
          <w:rFonts w:asciiTheme="minorHAnsi" w:hAnsiTheme="minorHAnsi" w:cstheme="majorBidi"/>
          <w:position w:val="-6"/>
          <w:sz w:val="24"/>
          <w:szCs w:val="24"/>
        </w:rPr>
        <w:t>.</w:t>
      </w:r>
    </w:p>
    <w:p w:rsidR="00C04CFA" w:rsidRPr="0002693D" w:rsidRDefault="00C04CFA" w:rsidP="00C04CFA">
      <w:pPr>
        <w:jc w:val="both"/>
        <w:rPr>
          <w:rFonts w:asciiTheme="minorHAnsi" w:hAnsiTheme="minorHAnsi" w:cstheme="majorBidi"/>
          <w:position w:val="-6"/>
          <w:sz w:val="12"/>
          <w:szCs w:val="24"/>
        </w:rPr>
      </w:pPr>
    </w:p>
    <w:p w:rsidR="005438D0" w:rsidRDefault="00C04CFA" w:rsidP="0002693D">
      <w:pPr>
        <w:jc w:val="both"/>
        <w:rPr>
          <w:rFonts w:asciiTheme="minorHAnsi" w:hAnsiTheme="minorHAnsi" w:cstheme="majorBidi"/>
          <w:position w:val="-6"/>
          <w:sz w:val="24"/>
          <w:szCs w:val="24"/>
        </w:rPr>
      </w:pPr>
      <w:r w:rsidRPr="00036D26">
        <w:rPr>
          <w:rFonts w:asciiTheme="minorHAnsi" w:hAnsiTheme="minorHAnsi" w:cstheme="majorBidi"/>
          <w:position w:val="-6"/>
          <w:sz w:val="24"/>
          <w:szCs w:val="24"/>
        </w:rPr>
        <w:t xml:space="preserve">La réduction de la létalité occasionnée par les </w:t>
      </w:r>
      <w:r>
        <w:rPr>
          <w:rFonts w:asciiTheme="minorHAnsi" w:hAnsiTheme="minorHAnsi" w:cstheme="majorBidi"/>
          <w:position w:val="-6"/>
          <w:sz w:val="24"/>
          <w:szCs w:val="24"/>
        </w:rPr>
        <w:t>poly</w:t>
      </w:r>
      <w:r w:rsidRPr="00036D26">
        <w:rPr>
          <w:rFonts w:asciiTheme="minorHAnsi" w:hAnsiTheme="minorHAnsi" w:cstheme="majorBidi"/>
          <w:position w:val="-6"/>
          <w:sz w:val="24"/>
          <w:szCs w:val="24"/>
        </w:rPr>
        <w:t xml:space="preserve"> traumatismes devrait être un objectif prioritaire du CHU de Blida. En effet un service</w:t>
      </w:r>
      <w:r>
        <w:rPr>
          <w:rFonts w:asciiTheme="minorHAnsi" w:hAnsiTheme="minorHAnsi" w:cstheme="majorBidi"/>
          <w:position w:val="-6"/>
          <w:sz w:val="24"/>
          <w:szCs w:val="24"/>
        </w:rPr>
        <w:t xml:space="preserve"> UMC</w:t>
      </w:r>
      <w:r w:rsidRPr="00036D26">
        <w:rPr>
          <w:rFonts w:asciiTheme="minorHAnsi" w:hAnsiTheme="minorHAnsi" w:cstheme="majorBidi"/>
          <w:position w:val="-6"/>
          <w:sz w:val="24"/>
          <w:szCs w:val="24"/>
        </w:rPr>
        <w:t xml:space="preserve"> a été mis en place depuis avril 2015 au CHU de Blida, et qui devrait fonctionner à certains égards comme un véritable centre de traumatologie polyvalent</w:t>
      </w:r>
      <w:r>
        <w:rPr>
          <w:rFonts w:asciiTheme="minorHAnsi" w:hAnsiTheme="minorHAnsi" w:cstheme="majorBidi"/>
          <w:position w:val="-6"/>
          <w:sz w:val="24"/>
          <w:szCs w:val="24"/>
        </w:rPr>
        <w:t xml:space="preserve">e </w:t>
      </w:r>
      <w:r w:rsidRPr="00036D26">
        <w:rPr>
          <w:rFonts w:asciiTheme="minorHAnsi" w:hAnsiTheme="minorHAnsi" w:cstheme="majorBidi"/>
          <w:position w:val="-6"/>
          <w:sz w:val="24"/>
          <w:szCs w:val="24"/>
        </w:rPr>
        <w:t>en tout cas comme un véritable service autonome à</w:t>
      </w:r>
      <w:r>
        <w:rPr>
          <w:rFonts w:asciiTheme="minorHAnsi" w:hAnsiTheme="minorHAnsi" w:cstheme="majorBidi"/>
          <w:position w:val="-6"/>
          <w:sz w:val="24"/>
          <w:szCs w:val="24"/>
        </w:rPr>
        <w:t xml:space="preserve"> </w:t>
      </w:r>
      <w:r w:rsidRPr="00036D26">
        <w:rPr>
          <w:rFonts w:asciiTheme="minorHAnsi" w:hAnsiTheme="minorHAnsi" w:cstheme="majorBidi"/>
          <w:position w:val="-6"/>
          <w:sz w:val="24"/>
          <w:szCs w:val="24"/>
        </w:rPr>
        <w:t xml:space="preserve">l’abri des tendances hégémoniques </w:t>
      </w:r>
      <w:r>
        <w:rPr>
          <w:rFonts w:asciiTheme="minorHAnsi" w:hAnsiTheme="minorHAnsi" w:cstheme="majorBidi"/>
          <w:position w:val="-6"/>
          <w:sz w:val="24"/>
          <w:szCs w:val="24"/>
        </w:rPr>
        <w:t xml:space="preserve">des autres services étrangers. </w:t>
      </w:r>
      <w:r w:rsidR="0002693D">
        <w:rPr>
          <w:rFonts w:asciiTheme="minorHAnsi" w:hAnsiTheme="minorHAnsi" w:cstheme="majorBidi"/>
          <w:position w:val="-6"/>
          <w:sz w:val="24"/>
          <w:szCs w:val="24"/>
        </w:rPr>
        <w:t>Néanmoins, le service UMC a été l’objet d</w:t>
      </w:r>
      <w:r w:rsidR="0002693D" w:rsidRPr="00483F4F">
        <w:rPr>
          <w:rFonts w:asciiTheme="minorHAnsi" w:hAnsiTheme="minorHAnsi" w:cstheme="majorBidi"/>
          <w:position w:val="-6"/>
          <w:sz w:val="24"/>
          <w:szCs w:val="24"/>
        </w:rPr>
        <w:t>e nombreu</w:t>
      </w:r>
      <w:r w:rsidR="0002693D">
        <w:rPr>
          <w:rFonts w:asciiTheme="minorHAnsi" w:hAnsiTheme="minorHAnsi" w:cstheme="majorBidi"/>
          <w:position w:val="-6"/>
          <w:sz w:val="24"/>
          <w:szCs w:val="24"/>
        </w:rPr>
        <w:t>se critiques quant à son organisation et à son fonctionnement.</w:t>
      </w:r>
    </w:p>
    <w:p w:rsidR="005438D0" w:rsidRDefault="005438D0" w:rsidP="0002693D">
      <w:pPr>
        <w:jc w:val="both"/>
        <w:rPr>
          <w:rFonts w:asciiTheme="minorHAnsi" w:hAnsiTheme="minorHAnsi" w:cstheme="majorBidi"/>
          <w:position w:val="-6"/>
          <w:sz w:val="24"/>
          <w:szCs w:val="24"/>
        </w:rPr>
      </w:pPr>
    </w:p>
    <w:p w:rsidR="0002693D" w:rsidRDefault="005438D0" w:rsidP="0002693D">
      <w:pPr>
        <w:jc w:val="both"/>
        <w:rPr>
          <w:rFonts w:asciiTheme="minorHAnsi" w:hAnsiTheme="minorHAnsi" w:cstheme="majorBidi"/>
          <w:position w:val="-6"/>
          <w:sz w:val="24"/>
          <w:szCs w:val="24"/>
        </w:rPr>
      </w:pPr>
      <w:r>
        <w:rPr>
          <w:rFonts w:asciiTheme="minorHAnsi" w:hAnsiTheme="minorHAnsi" w:cstheme="majorBidi"/>
          <w:position w:val="-6"/>
          <w:sz w:val="24"/>
          <w:szCs w:val="24"/>
        </w:rPr>
        <w:t>Le système d’information sur la mortalité hospitalière a gagné</w:t>
      </w:r>
      <w:r w:rsidR="00082F4E">
        <w:rPr>
          <w:rFonts w:asciiTheme="minorHAnsi" w:hAnsiTheme="minorHAnsi" w:cstheme="majorBidi"/>
          <w:position w:val="-6"/>
          <w:sz w:val="24"/>
          <w:szCs w:val="24"/>
        </w:rPr>
        <w:t xml:space="preserve"> cette année</w:t>
      </w:r>
      <w:r>
        <w:rPr>
          <w:rFonts w:asciiTheme="minorHAnsi" w:hAnsiTheme="minorHAnsi" w:cstheme="majorBidi"/>
          <w:position w:val="-6"/>
          <w:sz w:val="24"/>
          <w:szCs w:val="24"/>
        </w:rPr>
        <w:t xml:space="preserve"> en matière d’exhaustivité  </w:t>
      </w:r>
      <w:r w:rsidR="0002693D">
        <w:rPr>
          <w:rFonts w:asciiTheme="minorHAnsi" w:hAnsiTheme="minorHAnsi" w:cstheme="majorBidi"/>
          <w:position w:val="-6"/>
          <w:sz w:val="24"/>
          <w:szCs w:val="24"/>
        </w:rPr>
        <w:t xml:space="preserve"> </w:t>
      </w:r>
      <w:r w:rsidR="00082F4E">
        <w:rPr>
          <w:rFonts w:asciiTheme="minorHAnsi" w:hAnsiTheme="minorHAnsi" w:cstheme="majorBidi"/>
          <w:position w:val="-6"/>
          <w:sz w:val="24"/>
          <w:szCs w:val="24"/>
        </w:rPr>
        <w:t>, par le croisement  avec d’autres sources des données (RSS).</w:t>
      </w:r>
    </w:p>
    <w:p w:rsidR="0002693D" w:rsidRPr="0002693D" w:rsidRDefault="0002693D" w:rsidP="0002693D">
      <w:pPr>
        <w:jc w:val="both"/>
        <w:rPr>
          <w:rFonts w:asciiTheme="minorHAnsi" w:hAnsiTheme="minorHAnsi" w:cstheme="majorBidi"/>
          <w:position w:val="-6"/>
          <w:szCs w:val="24"/>
        </w:rPr>
      </w:pPr>
      <w:r>
        <w:rPr>
          <w:rFonts w:asciiTheme="minorHAnsi" w:hAnsiTheme="minorHAnsi" w:cstheme="majorBidi"/>
          <w:position w:val="-6"/>
          <w:sz w:val="24"/>
          <w:szCs w:val="24"/>
        </w:rPr>
        <w:t xml:space="preserve"> </w:t>
      </w:r>
    </w:p>
    <w:p w:rsidR="00E65171" w:rsidRPr="00F97102" w:rsidRDefault="00573A34" w:rsidP="0002693D">
      <w:pPr>
        <w:jc w:val="both"/>
        <w:rPr>
          <w:rFonts w:asciiTheme="minorHAnsi" w:hAnsiTheme="minorHAnsi" w:cstheme="majorBidi"/>
          <w:position w:val="-6"/>
          <w:sz w:val="24"/>
          <w:szCs w:val="24"/>
        </w:rPr>
      </w:pPr>
      <w:r w:rsidRPr="00F97102">
        <w:rPr>
          <w:rFonts w:asciiTheme="minorHAnsi" w:hAnsiTheme="minorHAnsi" w:cstheme="majorBidi"/>
          <w:position w:val="-6"/>
          <w:sz w:val="24"/>
          <w:szCs w:val="24"/>
        </w:rPr>
        <w:t xml:space="preserve">Le système d’information sur la mortalité hospitalière mis en place par le SEMEP est une étude générale, il </w:t>
      </w:r>
      <w:r w:rsidR="00A5000E" w:rsidRPr="00F97102">
        <w:rPr>
          <w:rFonts w:asciiTheme="minorHAnsi" w:hAnsiTheme="minorHAnsi" w:cstheme="majorBidi"/>
          <w:position w:val="-6"/>
          <w:sz w:val="24"/>
          <w:szCs w:val="24"/>
        </w:rPr>
        <w:t>fonctionne</w:t>
      </w:r>
      <w:r w:rsidRPr="00F97102">
        <w:rPr>
          <w:rFonts w:asciiTheme="minorHAnsi" w:hAnsiTheme="minorHAnsi" w:cstheme="majorBidi"/>
          <w:position w:val="-6"/>
          <w:sz w:val="24"/>
          <w:szCs w:val="24"/>
        </w:rPr>
        <w:t xml:space="preserve"> de façon permanente et routinière. Des études spécifiques centrées sur un service, une pathologie, </w:t>
      </w:r>
      <w:r w:rsidR="00777371" w:rsidRPr="00F97102">
        <w:rPr>
          <w:rFonts w:asciiTheme="minorHAnsi" w:hAnsiTheme="minorHAnsi" w:cstheme="majorBidi"/>
          <w:position w:val="-6"/>
          <w:sz w:val="24"/>
          <w:szCs w:val="24"/>
        </w:rPr>
        <w:t>peuvent</w:t>
      </w:r>
      <w:r w:rsidRPr="00F97102">
        <w:rPr>
          <w:rFonts w:asciiTheme="minorHAnsi" w:hAnsiTheme="minorHAnsi" w:cstheme="majorBidi"/>
          <w:position w:val="-6"/>
          <w:sz w:val="24"/>
          <w:szCs w:val="24"/>
        </w:rPr>
        <w:t xml:space="preserve"> se greffer sur ce système routinier afin de fournir des éléments objectifs d’aide aux décisions.</w:t>
      </w:r>
    </w:p>
    <w:sectPr w:rsidR="00E65171" w:rsidRPr="00F97102" w:rsidSect="00802190">
      <w:footerReference w:type="default" r:id="rId7"/>
      <w:pgSz w:w="11907" w:h="16840" w:code="9"/>
      <w:pgMar w:top="1276" w:right="1134"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FDA" w:rsidRDefault="00007FDA">
      <w:r>
        <w:separator/>
      </w:r>
    </w:p>
  </w:endnote>
  <w:endnote w:type="continuationSeparator" w:id="1">
    <w:p w:rsidR="00007FDA" w:rsidRDefault="00007F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8D0" w:rsidRDefault="003232D0">
    <w:pPr>
      <w:pStyle w:val="Pieddepage"/>
      <w:framePr w:wrap="auto" w:vAnchor="text" w:hAnchor="margin" w:xAlign="center" w:y="1"/>
      <w:rPr>
        <w:rStyle w:val="Numrodepage"/>
      </w:rPr>
    </w:pPr>
    <w:r>
      <w:rPr>
        <w:rStyle w:val="Numrodepage"/>
      </w:rPr>
      <w:fldChar w:fldCharType="begin"/>
    </w:r>
    <w:r w:rsidR="005438D0">
      <w:rPr>
        <w:rStyle w:val="Numrodepage"/>
      </w:rPr>
      <w:instrText xml:space="preserve">PAGE  </w:instrText>
    </w:r>
    <w:r>
      <w:rPr>
        <w:rStyle w:val="Numrodepage"/>
      </w:rPr>
      <w:fldChar w:fldCharType="separate"/>
    </w:r>
    <w:r w:rsidR="002742EC">
      <w:rPr>
        <w:rStyle w:val="Numrodepage"/>
        <w:noProof/>
      </w:rPr>
      <w:t>7</w:t>
    </w:r>
    <w:r>
      <w:rPr>
        <w:rStyle w:val="Numrodepage"/>
      </w:rPr>
      <w:fldChar w:fldCharType="end"/>
    </w:r>
  </w:p>
  <w:p w:rsidR="005438D0" w:rsidRDefault="005438D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FDA" w:rsidRDefault="00007FDA">
      <w:r>
        <w:separator/>
      </w:r>
    </w:p>
  </w:footnote>
  <w:footnote w:type="continuationSeparator" w:id="1">
    <w:p w:rsidR="00007FDA" w:rsidRDefault="00007F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embedSystemFonts/>
  <w:stylePaneFormatFilter w:val="3F01"/>
  <w:defaultTabStop w:val="708"/>
  <w:hyphenationZone w:val="425"/>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8D52C6"/>
    <w:rsid w:val="00002806"/>
    <w:rsid w:val="00005BDC"/>
    <w:rsid w:val="00006310"/>
    <w:rsid w:val="00007021"/>
    <w:rsid w:val="00007FDA"/>
    <w:rsid w:val="00011A1E"/>
    <w:rsid w:val="00012E5A"/>
    <w:rsid w:val="00016D04"/>
    <w:rsid w:val="00017134"/>
    <w:rsid w:val="00020516"/>
    <w:rsid w:val="00020F1D"/>
    <w:rsid w:val="000233C8"/>
    <w:rsid w:val="00024CEF"/>
    <w:rsid w:val="000260CF"/>
    <w:rsid w:val="0002693D"/>
    <w:rsid w:val="00027FC6"/>
    <w:rsid w:val="000306FF"/>
    <w:rsid w:val="00031843"/>
    <w:rsid w:val="000320E3"/>
    <w:rsid w:val="000326F1"/>
    <w:rsid w:val="00033542"/>
    <w:rsid w:val="00036D26"/>
    <w:rsid w:val="00037180"/>
    <w:rsid w:val="00037CC4"/>
    <w:rsid w:val="000433E3"/>
    <w:rsid w:val="00043698"/>
    <w:rsid w:val="00044D93"/>
    <w:rsid w:val="000458C9"/>
    <w:rsid w:val="00046E31"/>
    <w:rsid w:val="00047271"/>
    <w:rsid w:val="000500C5"/>
    <w:rsid w:val="0005054D"/>
    <w:rsid w:val="0005057F"/>
    <w:rsid w:val="00050BBE"/>
    <w:rsid w:val="00050FC4"/>
    <w:rsid w:val="00053B2B"/>
    <w:rsid w:val="000544E4"/>
    <w:rsid w:val="00055568"/>
    <w:rsid w:val="0005563D"/>
    <w:rsid w:val="00055DC5"/>
    <w:rsid w:val="0005661C"/>
    <w:rsid w:val="00060DD6"/>
    <w:rsid w:val="00061035"/>
    <w:rsid w:val="000626E2"/>
    <w:rsid w:val="0006376B"/>
    <w:rsid w:val="00063E9F"/>
    <w:rsid w:val="00064276"/>
    <w:rsid w:val="00066140"/>
    <w:rsid w:val="00066F14"/>
    <w:rsid w:val="000673D8"/>
    <w:rsid w:val="00070C57"/>
    <w:rsid w:val="00072393"/>
    <w:rsid w:val="00072595"/>
    <w:rsid w:val="0007378B"/>
    <w:rsid w:val="00073DE9"/>
    <w:rsid w:val="00075C0A"/>
    <w:rsid w:val="0007691B"/>
    <w:rsid w:val="00076F40"/>
    <w:rsid w:val="00081336"/>
    <w:rsid w:val="000818BF"/>
    <w:rsid w:val="00082489"/>
    <w:rsid w:val="00082F4E"/>
    <w:rsid w:val="00083AD0"/>
    <w:rsid w:val="00085AC7"/>
    <w:rsid w:val="0008668E"/>
    <w:rsid w:val="00086EF3"/>
    <w:rsid w:val="000929D0"/>
    <w:rsid w:val="0009484E"/>
    <w:rsid w:val="00094E57"/>
    <w:rsid w:val="00095D45"/>
    <w:rsid w:val="000A003B"/>
    <w:rsid w:val="000A3203"/>
    <w:rsid w:val="000A5A8C"/>
    <w:rsid w:val="000A697C"/>
    <w:rsid w:val="000B02E7"/>
    <w:rsid w:val="000B1E3E"/>
    <w:rsid w:val="000B5C58"/>
    <w:rsid w:val="000B7B3C"/>
    <w:rsid w:val="000C2C0A"/>
    <w:rsid w:val="000C2F4F"/>
    <w:rsid w:val="000C3A23"/>
    <w:rsid w:val="000C4599"/>
    <w:rsid w:val="000C4678"/>
    <w:rsid w:val="000C4D2A"/>
    <w:rsid w:val="000C5146"/>
    <w:rsid w:val="000C5F8A"/>
    <w:rsid w:val="000C65AE"/>
    <w:rsid w:val="000C6C15"/>
    <w:rsid w:val="000D00C6"/>
    <w:rsid w:val="000D154A"/>
    <w:rsid w:val="000D2011"/>
    <w:rsid w:val="000D39F9"/>
    <w:rsid w:val="000D40D8"/>
    <w:rsid w:val="000D492A"/>
    <w:rsid w:val="000D6CB3"/>
    <w:rsid w:val="000E11AB"/>
    <w:rsid w:val="000E1DFF"/>
    <w:rsid w:val="000E690F"/>
    <w:rsid w:val="000F1E89"/>
    <w:rsid w:val="000F32AB"/>
    <w:rsid w:val="000F5698"/>
    <w:rsid w:val="000F5E35"/>
    <w:rsid w:val="000F5E4A"/>
    <w:rsid w:val="000F6F19"/>
    <w:rsid w:val="000F7D5B"/>
    <w:rsid w:val="00101A76"/>
    <w:rsid w:val="0010215D"/>
    <w:rsid w:val="00102302"/>
    <w:rsid w:val="001023C7"/>
    <w:rsid w:val="00102404"/>
    <w:rsid w:val="001029E1"/>
    <w:rsid w:val="001036C4"/>
    <w:rsid w:val="00103C3D"/>
    <w:rsid w:val="00103EF5"/>
    <w:rsid w:val="0010549B"/>
    <w:rsid w:val="00105CCF"/>
    <w:rsid w:val="00105E6C"/>
    <w:rsid w:val="0010698B"/>
    <w:rsid w:val="00107E53"/>
    <w:rsid w:val="00110F9D"/>
    <w:rsid w:val="00111D25"/>
    <w:rsid w:val="00112016"/>
    <w:rsid w:val="00112329"/>
    <w:rsid w:val="00112CFC"/>
    <w:rsid w:val="00113B95"/>
    <w:rsid w:val="0011454B"/>
    <w:rsid w:val="0011714B"/>
    <w:rsid w:val="0012083F"/>
    <w:rsid w:val="00121980"/>
    <w:rsid w:val="00124AB8"/>
    <w:rsid w:val="00124BA7"/>
    <w:rsid w:val="00126429"/>
    <w:rsid w:val="001268A6"/>
    <w:rsid w:val="001339C0"/>
    <w:rsid w:val="00134010"/>
    <w:rsid w:val="00140EC2"/>
    <w:rsid w:val="0014172B"/>
    <w:rsid w:val="0014208E"/>
    <w:rsid w:val="001435DA"/>
    <w:rsid w:val="00144C26"/>
    <w:rsid w:val="001465F0"/>
    <w:rsid w:val="001478A9"/>
    <w:rsid w:val="00150238"/>
    <w:rsid w:val="00150888"/>
    <w:rsid w:val="00151377"/>
    <w:rsid w:val="001535B7"/>
    <w:rsid w:val="0015470B"/>
    <w:rsid w:val="00156FF5"/>
    <w:rsid w:val="00161AB9"/>
    <w:rsid w:val="00164332"/>
    <w:rsid w:val="001664B3"/>
    <w:rsid w:val="001671E9"/>
    <w:rsid w:val="0016783D"/>
    <w:rsid w:val="001702CC"/>
    <w:rsid w:val="0017082E"/>
    <w:rsid w:val="00172085"/>
    <w:rsid w:val="00172527"/>
    <w:rsid w:val="00172BA0"/>
    <w:rsid w:val="00172D14"/>
    <w:rsid w:val="00173E79"/>
    <w:rsid w:val="00174AA9"/>
    <w:rsid w:val="00174D77"/>
    <w:rsid w:val="001761B4"/>
    <w:rsid w:val="00176D85"/>
    <w:rsid w:val="00183FD6"/>
    <w:rsid w:val="00184DFF"/>
    <w:rsid w:val="00190ECB"/>
    <w:rsid w:val="00191638"/>
    <w:rsid w:val="00191B46"/>
    <w:rsid w:val="00193280"/>
    <w:rsid w:val="001948E7"/>
    <w:rsid w:val="001963F0"/>
    <w:rsid w:val="00196E95"/>
    <w:rsid w:val="001972E0"/>
    <w:rsid w:val="001A081B"/>
    <w:rsid w:val="001A381C"/>
    <w:rsid w:val="001A444D"/>
    <w:rsid w:val="001A5632"/>
    <w:rsid w:val="001A594C"/>
    <w:rsid w:val="001A6F77"/>
    <w:rsid w:val="001B1B21"/>
    <w:rsid w:val="001B1E7B"/>
    <w:rsid w:val="001B6A4A"/>
    <w:rsid w:val="001C1D0A"/>
    <w:rsid w:val="001C26D4"/>
    <w:rsid w:val="001C5316"/>
    <w:rsid w:val="001D0067"/>
    <w:rsid w:val="001D05C7"/>
    <w:rsid w:val="001D44E4"/>
    <w:rsid w:val="001D5850"/>
    <w:rsid w:val="001D5891"/>
    <w:rsid w:val="001E0325"/>
    <w:rsid w:val="001E1ADA"/>
    <w:rsid w:val="001E1BD9"/>
    <w:rsid w:val="001E1CA2"/>
    <w:rsid w:val="001E3C2A"/>
    <w:rsid w:val="001E4FB2"/>
    <w:rsid w:val="001E6F94"/>
    <w:rsid w:val="001E75EA"/>
    <w:rsid w:val="001F0B36"/>
    <w:rsid w:val="001F0F45"/>
    <w:rsid w:val="001F1248"/>
    <w:rsid w:val="001F21BC"/>
    <w:rsid w:val="001F27F9"/>
    <w:rsid w:val="001F2865"/>
    <w:rsid w:val="001F3DEF"/>
    <w:rsid w:val="001F4AC7"/>
    <w:rsid w:val="001F565A"/>
    <w:rsid w:val="001F58F3"/>
    <w:rsid w:val="001F5C11"/>
    <w:rsid w:val="001F76DA"/>
    <w:rsid w:val="001F77D8"/>
    <w:rsid w:val="001F7EF9"/>
    <w:rsid w:val="0020516D"/>
    <w:rsid w:val="002051A3"/>
    <w:rsid w:val="002078DD"/>
    <w:rsid w:val="002179CA"/>
    <w:rsid w:val="002206AD"/>
    <w:rsid w:val="0022306A"/>
    <w:rsid w:val="002245C9"/>
    <w:rsid w:val="0022547A"/>
    <w:rsid w:val="00225A74"/>
    <w:rsid w:val="00227518"/>
    <w:rsid w:val="00227C35"/>
    <w:rsid w:val="00230946"/>
    <w:rsid w:val="0023277A"/>
    <w:rsid w:val="002335D9"/>
    <w:rsid w:val="00233AB8"/>
    <w:rsid w:val="00240DE4"/>
    <w:rsid w:val="00241DEB"/>
    <w:rsid w:val="0024308F"/>
    <w:rsid w:val="002455EF"/>
    <w:rsid w:val="002459FE"/>
    <w:rsid w:val="002464FF"/>
    <w:rsid w:val="00246972"/>
    <w:rsid w:val="00246AD2"/>
    <w:rsid w:val="002473E7"/>
    <w:rsid w:val="002478B1"/>
    <w:rsid w:val="00252D14"/>
    <w:rsid w:val="002622CB"/>
    <w:rsid w:val="0026466A"/>
    <w:rsid w:val="00270CD1"/>
    <w:rsid w:val="002712E5"/>
    <w:rsid w:val="00272A1A"/>
    <w:rsid w:val="002742EC"/>
    <w:rsid w:val="002744E3"/>
    <w:rsid w:val="002749B3"/>
    <w:rsid w:val="00274EBD"/>
    <w:rsid w:val="00281648"/>
    <w:rsid w:val="00285AFD"/>
    <w:rsid w:val="00285FE2"/>
    <w:rsid w:val="00290865"/>
    <w:rsid w:val="00290E01"/>
    <w:rsid w:val="00292711"/>
    <w:rsid w:val="00292D38"/>
    <w:rsid w:val="002936B8"/>
    <w:rsid w:val="00293959"/>
    <w:rsid w:val="002954EA"/>
    <w:rsid w:val="002A0B5D"/>
    <w:rsid w:val="002A0D06"/>
    <w:rsid w:val="002A16C2"/>
    <w:rsid w:val="002A2D80"/>
    <w:rsid w:val="002A2DC4"/>
    <w:rsid w:val="002A40D6"/>
    <w:rsid w:val="002A5DD5"/>
    <w:rsid w:val="002A671D"/>
    <w:rsid w:val="002B012F"/>
    <w:rsid w:val="002B3011"/>
    <w:rsid w:val="002B3489"/>
    <w:rsid w:val="002B7262"/>
    <w:rsid w:val="002B7DC2"/>
    <w:rsid w:val="002C0655"/>
    <w:rsid w:val="002C24C6"/>
    <w:rsid w:val="002C2A44"/>
    <w:rsid w:val="002C2DF9"/>
    <w:rsid w:val="002D1533"/>
    <w:rsid w:val="002D1F62"/>
    <w:rsid w:val="002D35AB"/>
    <w:rsid w:val="002D5E11"/>
    <w:rsid w:val="002D5EFF"/>
    <w:rsid w:val="002D7535"/>
    <w:rsid w:val="002E22D6"/>
    <w:rsid w:val="002E5BA0"/>
    <w:rsid w:val="002E69C2"/>
    <w:rsid w:val="002E6A38"/>
    <w:rsid w:val="002E6C68"/>
    <w:rsid w:val="002E6F08"/>
    <w:rsid w:val="002E72CC"/>
    <w:rsid w:val="002F0F7B"/>
    <w:rsid w:val="002F2DCE"/>
    <w:rsid w:val="002F2ECE"/>
    <w:rsid w:val="002F3D80"/>
    <w:rsid w:val="002F5F70"/>
    <w:rsid w:val="002F6F5D"/>
    <w:rsid w:val="0030214F"/>
    <w:rsid w:val="00302EF8"/>
    <w:rsid w:val="00311902"/>
    <w:rsid w:val="0031264A"/>
    <w:rsid w:val="00313578"/>
    <w:rsid w:val="003140F6"/>
    <w:rsid w:val="003145DF"/>
    <w:rsid w:val="003170F4"/>
    <w:rsid w:val="00317224"/>
    <w:rsid w:val="0032066C"/>
    <w:rsid w:val="00322FB7"/>
    <w:rsid w:val="003232D0"/>
    <w:rsid w:val="003234E5"/>
    <w:rsid w:val="00327096"/>
    <w:rsid w:val="00327E92"/>
    <w:rsid w:val="0033246A"/>
    <w:rsid w:val="00332FFE"/>
    <w:rsid w:val="0033371A"/>
    <w:rsid w:val="00334874"/>
    <w:rsid w:val="003352E8"/>
    <w:rsid w:val="00335AF7"/>
    <w:rsid w:val="0033607F"/>
    <w:rsid w:val="00336350"/>
    <w:rsid w:val="003378A0"/>
    <w:rsid w:val="00341BD7"/>
    <w:rsid w:val="0034291B"/>
    <w:rsid w:val="0034404C"/>
    <w:rsid w:val="003447EB"/>
    <w:rsid w:val="00346544"/>
    <w:rsid w:val="003468B8"/>
    <w:rsid w:val="00346AA6"/>
    <w:rsid w:val="00346FE7"/>
    <w:rsid w:val="00350797"/>
    <w:rsid w:val="00352459"/>
    <w:rsid w:val="00353408"/>
    <w:rsid w:val="00354693"/>
    <w:rsid w:val="00356C83"/>
    <w:rsid w:val="003571BD"/>
    <w:rsid w:val="003629E3"/>
    <w:rsid w:val="00370CA5"/>
    <w:rsid w:val="00370E16"/>
    <w:rsid w:val="003712C5"/>
    <w:rsid w:val="00375B75"/>
    <w:rsid w:val="00377E42"/>
    <w:rsid w:val="00382005"/>
    <w:rsid w:val="00383AA4"/>
    <w:rsid w:val="003871AC"/>
    <w:rsid w:val="003919CB"/>
    <w:rsid w:val="00391B10"/>
    <w:rsid w:val="00391BEF"/>
    <w:rsid w:val="00395381"/>
    <w:rsid w:val="003963C5"/>
    <w:rsid w:val="0039711B"/>
    <w:rsid w:val="00397875"/>
    <w:rsid w:val="003A2855"/>
    <w:rsid w:val="003A29D2"/>
    <w:rsid w:val="003A3D8E"/>
    <w:rsid w:val="003A502A"/>
    <w:rsid w:val="003A6F85"/>
    <w:rsid w:val="003B0691"/>
    <w:rsid w:val="003B1DC5"/>
    <w:rsid w:val="003B35D3"/>
    <w:rsid w:val="003B562C"/>
    <w:rsid w:val="003B5E1B"/>
    <w:rsid w:val="003C01D2"/>
    <w:rsid w:val="003C0202"/>
    <w:rsid w:val="003C0BC2"/>
    <w:rsid w:val="003C0E42"/>
    <w:rsid w:val="003C1291"/>
    <w:rsid w:val="003C183B"/>
    <w:rsid w:val="003C246C"/>
    <w:rsid w:val="003C2AF9"/>
    <w:rsid w:val="003C4E3C"/>
    <w:rsid w:val="003C58EB"/>
    <w:rsid w:val="003C6A53"/>
    <w:rsid w:val="003D008B"/>
    <w:rsid w:val="003D0CEB"/>
    <w:rsid w:val="003D20B8"/>
    <w:rsid w:val="003D67D1"/>
    <w:rsid w:val="003E0012"/>
    <w:rsid w:val="003E016E"/>
    <w:rsid w:val="003E1324"/>
    <w:rsid w:val="003E138C"/>
    <w:rsid w:val="003E3D26"/>
    <w:rsid w:val="003E4EE9"/>
    <w:rsid w:val="003E5467"/>
    <w:rsid w:val="003E5E7F"/>
    <w:rsid w:val="003E608C"/>
    <w:rsid w:val="003E6301"/>
    <w:rsid w:val="003E6A96"/>
    <w:rsid w:val="003E6ED4"/>
    <w:rsid w:val="003F035B"/>
    <w:rsid w:val="003F1268"/>
    <w:rsid w:val="003F1A55"/>
    <w:rsid w:val="003F23E1"/>
    <w:rsid w:val="003F264B"/>
    <w:rsid w:val="003F42EE"/>
    <w:rsid w:val="00400AFF"/>
    <w:rsid w:val="00401497"/>
    <w:rsid w:val="00402F37"/>
    <w:rsid w:val="00403659"/>
    <w:rsid w:val="00404CEB"/>
    <w:rsid w:val="00406018"/>
    <w:rsid w:val="00410F45"/>
    <w:rsid w:val="00412035"/>
    <w:rsid w:val="00412F98"/>
    <w:rsid w:val="00414023"/>
    <w:rsid w:val="004159CC"/>
    <w:rsid w:val="00415D5E"/>
    <w:rsid w:val="004163B8"/>
    <w:rsid w:val="00417C43"/>
    <w:rsid w:val="00420DBE"/>
    <w:rsid w:val="00421790"/>
    <w:rsid w:val="004221E6"/>
    <w:rsid w:val="004245DD"/>
    <w:rsid w:val="00424BF8"/>
    <w:rsid w:val="0043084E"/>
    <w:rsid w:val="00430F13"/>
    <w:rsid w:val="00432D13"/>
    <w:rsid w:val="00434ABC"/>
    <w:rsid w:val="0043661D"/>
    <w:rsid w:val="00437890"/>
    <w:rsid w:val="00437E53"/>
    <w:rsid w:val="00440917"/>
    <w:rsid w:val="00440FD7"/>
    <w:rsid w:val="0044201D"/>
    <w:rsid w:val="00444C4C"/>
    <w:rsid w:val="00445004"/>
    <w:rsid w:val="00445A27"/>
    <w:rsid w:val="00450090"/>
    <w:rsid w:val="00450C9C"/>
    <w:rsid w:val="00451843"/>
    <w:rsid w:val="00453DE5"/>
    <w:rsid w:val="004541FE"/>
    <w:rsid w:val="004548D2"/>
    <w:rsid w:val="00455561"/>
    <w:rsid w:val="00457B40"/>
    <w:rsid w:val="00462EFA"/>
    <w:rsid w:val="00463C34"/>
    <w:rsid w:val="00464BFB"/>
    <w:rsid w:val="00467978"/>
    <w:rsid w:val="004700D3"/>
    <w:rsid w:val="004702B5"/>
    <w:rsid w:val="00471F59"/>
    <w:rsid w:val="00472E5C"/>
    <w:rsid w:val="00475EA5"/>
    <w:rsid w:val="0047677D"/>
    <w:rsid w:val="004768BB"/>
    <w:rsid w:val="00476F8C"/>
    <w:rsid w:val="00481AB7"/>
    <w:rsid w:val="004827CE"/>
    <w:rsid w:val="00483F4F"/>
    <w:rsid w:val="00484ED3"/>
    <w:rsid w:val="004853F9"/>
    <w:rsid w:val="0048718E"/>
    <w:rsid w:val="004878BB"/>
    <w:rsid w:val="0049043C"/>
    <w:rsid w:val="00492FA6"/>
    <w:rsid w:val="00493DD1"/>
    <w:rsid w:val="004940E1"/>
    <w:rsid w:val="00494640"/>
    <w:rsid w:val="00494B8C"/>
    <w:rsid w:val="00494E00"/>
    <w:rsid w:val="004A1007"/>
    <w:rsid w:val="004A50FD"/>
    <w:rsid w:val="004A6506"/>
    <w:rsid w:val="004A6705"/>
    <w:rsid w:val="004B0F1F"/>
    <w:rsid w:val="004B1D86"/>
    <w:rsid w:val="004B3595"/>
    <w:rsid w:val="004B3D0E"/>
    <w:rsid w:val="004B4861"/>
    <w:rsid w:val="004B50D2"/>
    <w:rsid w:val="004B5943"/>
    <w:rsid w:val="004B60BC"/>
    <w:rsid w:val="004B75A0"/>
    <w:rsid w:val="004C094A"/>
    <w:rsid w:val="004C0E84"/>
    <w:rsid w:val="004C144B"/>
    <w:rsid w:val="004C1F55"/>
    <w:rsid w:val="004C29E9"/>
    <w:rsid w:val="004C3363"/>
    <w:rsid w:val="004C393E"/>
    <w:rsid w:val="004C53D1"/>
    <w:rsid w:val="004D107A"/>
    <w:rsid w:val="004D1273"/>
    <w:rsid w:val="004D2936"/>
    <w:rsid w:val="004D5EED"/>
    <w:rsid w:val="004D76DF"/>
    <w:rsid w:val="004E1F35"/>
    <w:rsid w:val="004E26DE"/>
    <w:rsid w:val="004E3C5D"/>
    <w:rsid w:val="004E4F72"/>
    <w:rsid w:val="004E7268"/>
    <w:rsid w:val="004E7324"/>
    <w:rsid w:val="004E73B9"/>
    <w:rsid w:val="004F0361"/>
    <w:rsid w:val="004F4485"/>
    <w:rsid w:val="004F733A"/>
    <w:rsid w:val="00500353"/>
    <w:rsid w:val="005009C9"/>
    <w:rsid w:val="00502688"/>
    <w:rsid w:val="005026E7"/>
    <w:rsid w:val="0050298D"/>
    <w:rsid w:val="00502B25"/>
    <w:rsid w:val="0050301B"/>
    <w:rsid w:val="00503D1E"/>
    <w:rsid w:val="00505917"/>
    <w:rsid w:val="00507CCE"/>
    <w:rsid w:val="00507DFD"/>
    <w:rsid w:val="00511E32"/>
    <w:rsid w:val="00511EEB"/>
    <w:rsid w:val="005152FE"/>
    <w:rsid w:val="00515E58"/>
    <w:rsid w:val="0051642F"/>
    <w:rsid w:val="0051700F"/>
    <w:rsid w:val="00520456"/>
    <w:rsid w:val="0052160E"/>
    <w:rsid w:val="00521B4C"/>
    <w:rsid w:val="00523474"/>
    <w:rsid w:val="00524A1D"/>
    <w:rsid w:val="0052652F"/>
    <w:rsid w:val="00526EE7"/>
    <w:rsid w:val="00530E35"/>
    <w:rsid w:val="00531A8D"/>
    <w:rsid w:val="005341AB"/>
    <w:rsid w:val="0053472E"/>
    <w:rsid w:val="00534D0E"/>
    <w:rsid w:val="00535E17"/>
    <w:rsid w:val="00540721"/>
    <w:rsid w:val="00540AE8"/>
    <w:rsid w:val="00540F8B"/>
    <w:rsid w:val="0054156F"/>
    <w:rsid w:val="00542413"/>
    <w:rsid w:val="005438D0"/>
    <w:rsid w:val="00544002"/>
    <w:rsid w:val="00544335"/>
    <w:rsid w:val="005459D7"/>
    <w:rsid w:val="00545FE3"/>
    <w:rsid w:val="00546B2D"/>
    <w:rsid w:val="0055003B"/>
    <w:rsid w:val="00550148"/>
    <w:rsid w:val="0055253F"/>
    <w:rsid w:val="005526FB"/>
    <w:rsid w:val="005542DE"/>
    <w:rsid w:val="0056016B"/>
    <w:rsid w:val="00560A63"/>
    <w:rsid w:val="00564EC9"/>
    <w:rsid w:val="005658B4"/>
    <w:rsid w:val="00566557"/>
    <w:rsid w:val="00570321"/>
    <w:rsid w:val="00573A34"/>
    <w:rsid w:val="005743F3"/>
    <w:rsid w:val="0057466F"/>
    <w:rsid w:val="00577D43"/>
    <w:rsid w:val="00577FA2"/>
    <w:rsid w:val="00580279"/>
    <w:rsid w:val="0058515C"/>
    <w:rsid w:val="005858CB"/>
    <w:rsid w:val="00587BAD"/>
    <w:rsid w:val="00591BC3"/>
    <w:rsid w:val="00591D0E"/>
    <w:rsid w:val="005925B6"/>
    <w:rsid w:val="00592FCD"/>
    <w:rsid w:val="00593A85"/>
    <w:rsid w:val="005A007A"/>
    <w:rsid w:val="005A05CE"/>
    <w:rsid w:val="005A06C9"/>
    <w:rsid w:val="005A103C"/>
    <w:rsid w:val="005A233B"/>
    <w:rsid w:val="005A3C2F"/>
    <w:rsid w:val="005A3F5D"/>
    <w:rsid w:val="005A6967"/>
    <w:rsid w:val="005A76D4"/>
    <w:rsid w:val="005A78EA"/>
    <w:rsid w:val="005B0DF8"/>
    <w:rsid w:val="005B23D4"/>
    <w:rsid w:val="005B471C"/>
    <w:rsid w:val="005B60BA"/>
    <w:rsid w:val="005B781A"/>
    <w:rsid w:val="005B7885"/>
    <w:rsid w:val="005B7E86"/>
    <w:rsid w:val="005C2E24"/>
    <w:rsid w:val="005C4A32"/>
    <w:rsid w:val="005C51C0"/>
    <w:rsid w:val="005C74E2"/>
    <w:rsid w:val="005C76DF"/>
    <w:rsid w:val="005D13D2"/>
    <w:rsid w:val="005D1A75"/>
    <w:rsid w:val="005D2254"/>
    <w:rsid w:val="005D6E65"/>
    <w:rsid w:val="005D6FB5"/>
    <w:rsid w:val="005D728C"/>
    <w:rsid w:val="005D7A28"/>
    <w:rsid w:val="005E0DEA"/>
    <w:rsid w:val="005E19A8"/>
    <w:rsid w:val="005E1A5A"/>
    <w:rsid w:val="005E2CA3"/>
    <w:rsid w:val="005E3317"/>
    <w:rsid w:val="005E334F"/>
    <w:rsid w:val="005F0842"/>
    <w:rsid w:val="005F1DBF"/>
    <w:rsid w:val="005F4201"/>
    <w:rsid w:val="005F63FB"/>
    <w:rsid w:val="005F6D8D"/>
    <w:rsid w:val="00600240"/>
    <w:rsid w:val="006016C1"/>
    <w:rsid w:val="00601EE1"/>
    <w:rsid w:val="006036C9"/>
    <w:rsid w:val="006058B0"/>
    <w:rsid w:val="0060774E"/>
    <w:rsid w:val="006126EE"/>
    <w:rsid w:val="00613314"/>
    <w:rsid w:val="00615529"/>
    <w:rsid w:val="006175D8"/>
    <w:rsid w:val="00620BAA"/>
    <w:rsid w:val="006214D2"/>
    <w:rsid w:val="00622CD4"/>
    <w:rsid w:val="00623AEB"/>
    <w:rsid w:val="00624862"/>
    <w:rsid w:val="00625F41"/>
    <w:rsid w:val="0062631B"/>
    <w:rsid w:val="00627D20"/>
    <w:rsid w:val="00627E4E"/>
    <w:rsid w:val="00627EF4"/>
    <w:rsid w:val="006311B2"/>
    <w:rsid w:val="00632233"/>
    <w:rsid w:val="00634A9E"/>
    <w:rsid w:val="00634BB4"/>
    <w:rsid w:val="006350FE"/>
    <w:rsid w:val="00636D32"/>
    <w:rsid w:val="0063745A"/>
    <w:rsid w:val="00637509"/>
    <w:rsid w:val="00637575"/>
    <w:rsid w:val="00637732"/>
    <w:rsid w:val="00637955"/>
    <w:rsid w:val="006419F9"/>
    <w:rsid w:val="00643845"/>
    <w:rsid w:val="00643B0F"/>
    <w:rsid w:val="00643E15"/>
    <w:rsid w:val="00644B7B"/>
    <w:rsid w:val="00647E1A"/>
    <w:rsid w:val="00651860"/>
    <w:rsid w:val="006539D4"/>
    <w:rsid w:val="0065466D"/>
    <w:rsid w:val="006546C7"/>
    <w:rsid w:val="00654721"/>
    <w:rsid w:val="00654EF2"/>
    <w:rsid w:val="0065751D"/>
    <w:rsid w:val="0065773B"/>
    <w:rsid w:val="0066133C"/>
    <w:rsid w:val="0066365A"/>
    <w:rsid w:val="00666181"/>
    <w:rsid w:val="00667767"/>
    <w:rsid w:val="00670216"/>
    <w:rsid w:val="00670A59"/>
    <w:rsid w:val="00670C5B"/>
    <w:rsid w:val="00671475"/>
    <w:rsid w:val="00672514"/>
    <w:rsid w:val="0067320A"/>
    <w:rsid w:val="00673A47"/>
    <w:rsid w:val="006741C1"/>
    <w:rsid w:val="00675FCC"/>
    <w:rsid w:val="006817F8"/>
    <w:rsid w:val="00681A9A"/>
    <w:rsid w:val="00687208"/>
    <w:rsid w:val="006909AD"/>
    <w:rsid w:val="00693D8B"/>
    <w:rsid w:val="0069506C"/>
    <w:rsid w:val="00697B19"/>
    <w:rsid w:val="006A16C5"/>
    <w:rsid w:val="006A2DDE"/>
    <w:rsid w:val="006A2EFB"/>
    <w:rsid w:val="006A5569"/>
    <w:rsid w:val="006A593E"/>
    <w:rsid w:val="006A6140"/>
    <w:rsid w:val="006B0CC4"/>
    <w:rsid w:val="006B1E4C"/>
    <w:rsid w:val="006B2179"/>
    <w:rsid w:val="006B280A"/>
    <w:rsid w:val="006B445B"/>
    <w:rsid w:val="006B68B7"/>
    <w:rsid w:val="006C1C11"/>
    <w:rsid w:val="006C1CAB"/>
    <w:rsid w:val="006C30B8"/>
    <w:rsid w:val="006C469D"/>
    <w:rsid w:val="006C4CF5"/>
    <w:rsid w:val="006C5C35"/>
    <w:rsid w:val="006C5ED7"/>
    <w:rsid w:val="006C668A"/>
    <w:rsid w:val="006D2FD6"/>
    <w:rsid w:val="006D5326"/>
    <w:rsid w:val="006D65D6"/>
    <w:rsid w:val="006D7298"/>
    <w:rsid w:val="006E17F0"/>
    <w:rsid w:val="006E24AE"/>
    <w:rsid w:val="006E27B3"/>
    <w:rsid w:val="006E2CE2"/>
    <w:rsid w:val="006E3676"/>
    <w:rsid w:val="006E7C1B"/>
    <w:rsid w:val="006F07DF"/>
    <w:rsid w:val="006F2577"/>
    <w:rsid w:val="006F2C09"/>
    <w:rsid w:val="006F3773"/>
    <w:rsid w:val="006F5F23"/>
    <w:rsid w:val="006F6B06"/>
    <w:rsid w:val="006F7422"/>
    <w:rsid w:val="007035A1"/>
    <w:rsid w:val="00703FDB"/>
    <w:rsid w:val="007050BB"/>
    <w:rsid w:val="00706306"/>
    <w:rsid w:val="00707D79"/>
    <w:rsid w:val="007102F1"/>
    <w:rsid w:val="00710815"/>
    <w:rsid w:val="007136C1"/>
    <w:rsid w:val="0071387F"/>
    <w:rsid w:val="00720800"/>
    <w:rsid w:val="0072162C"/>
    <w:rsid w:val="00725E7B"/>
    <w:rsid w:val="007263AC"/>
    <w:rsid w:val="00727DCB"/>
    <w:rsid w:val="00727EF7"/>
    <w:rsid w:val="0073055B"/>
    <w:rsid w:val="007305F4"/>
    <w:rsid w:val="007319E2"/>
    <w:rsid w:val="00731DE1"/>
    <w:rsid w:val="00732185"/>
    <w:rsid w:val="00733957"/>
    <w:rsid w:val="00734FC0"/>
    <w:rsid w:val="007367E3"/>
    <w:rsid w:val="00740603"/>
    <w:rsid w:val="0074121A"/>
    <w:rsid w:val="007427A8"/>
    <w:rsid w:val="00744DF5"/>
    <w:rsid w:val="00745DD4"/>
    <w:rsid w:val="00747447"/>
    <w:rsid w:val="00751915"/>
    <w:rsid w:val="00751F12"/>
    <w:rsid w:val="00752E24"/>
    <w:rsid w:val="007535DF"/>
    <w:rsid w:val="007548C2"/>
    <w:rsid w:val="00754C10"/>
    <w:rsid w:val="00756DBD"/>
    <w:rsid w:val="00756F6B"/>
    <w:rsid w:val="00757018"/>
    <w:rsid w:val="00760654"/>
    <w:rsid w:val="007651AC"/>
    <w:rsid w:val="00765535"/>
    <w:rsid w:val="007661D5"/>
    <w:rsid w:val="0076688C"/>
    <w:rsid w:val="00770842"/>
    <w:rsid w:val="00771FB7"/>
    <w:rsid w:val="007725BC"/>
    <w:rsid w:val="007745C2"/>
    <w:rsid w:val="007763E1"/>
    <w:rsid w:val="00777371"/>
    <w:rsid w:val="00777F54"/>
    <w:rsid w:val="00780A93"/>
    <w:rsid w:val="007857D7"/>
    <w:rsid w:val="00786FA2"/>
    <w:rsid w:val="00790989"/>
    <w:rsid w:val="00791A85"/>
    <w:rsid w:val="00792C2E"/>
    <w:rsid w:val="00792E1B"/>
    <w:rsid w:val="0079370D"/>
    <w:rsid w:val="00796669"/>
    <w:rsid w:val="00797B19"/>
    <w:rsid w:val="007A06FE"/>
    <w:rsid w:val="007A09AC"/>
    <w:rsid w:val="007A3566"/>
    <w:rsid w:val="007A4849"/>
    <w:rsid w:val="007A4FE3"/>
    <w:rsid w:val="007A5948"/>
    <w:rsid w:val="007A5BB3"/>
    <w:rsid w:val="007A74AB"/>
    <w:rsid w:val="007B453B"/>
    <w:rsid w:val="007B65AD"/>
    <w:rsid w:val="007C261C"/>
    <w:rsid w:val="007C2F3E"/>
    <w:rsid w:val="007C3A70"/>
    <w:rsid w:val="007C4735"/>
    <w:rsid w:val="007C4EE9"/>
    <w:rsid w:val="007C586A"/>
    <w:rsid w:val="007C7F11"/>
    <w:rsid w:val="007D1F3F"/>
    <w:rsid w:val="007D24A1"/>
    <w:rsid w:val="007D368A"/>
    <w:rsid w:val="007D7B28"/>
    <w:rsid w:val="007E086E"/>
    <w:rsid w:val="007E0C05"/>
    <w:rsid w:val="007E1B22"/>
    <w:rsid w:val="007E2493"/>
    <w:rsid w:val="007E454A"/>
    <w:rsid w:val="007E5518"/>
    <w:rsid w:val="007F1406"/>
    <w:rsid w:val="007F1BD8"/>
    <w:rsid w:val="007F324B"/>
    <w:rsid w:val="007F441E"/>
    <w:rsid w:val="007F58F7"/>
    <w:rsid w:val="00801EDE"/>
    <w:rsid w:val="00802190"/>
    <w:rsid w:val="008026BA"/>
    <w:rsid w:val="0080297E"/>
    <w:rsid w:val="008038AA"/>
    <w:rsid w:val="00805706"/>
    <w:rsid w:val="008069CA"/>
    <w:rsid w:val="00807607"/>
    <w:rsid w:val="00807E2B"/>
    <w:rsid w:val="0081151C"/>
    <w:rsid w:val="008135A4"/>
    <w:rsid w:val="0081393B"/>
    <w:rsid w:val="00816118"/>
    <w:rsid w:val="0081681C"/>
    <w:rsid w:val="00821248"/>
    <w:rsid w:val="00823766"/>
    <w:rsid w:val="00825967"/>
    <w:rsid w:val="00830F1B"/>
    <w:rsid w:val="0083188A"/>
    <w:rsid w:val="00831F07"/>
    <w:rsid w:val="00833663"/>
    <w:rsid w:val="00833E2E"/>
    <w:rsid w:val="008369D8"/>
    <w:rsid w:val="00837398"/>
    <w:rsid w:val="00842BC2"/>
    <w:rsid w:val="00842DA9"/>
    <w:rsid w:val="00842F2A"/>
    <w:rsid w:val="00843992"/>
    <w:rsid w:val="00847E0F"/>
    <w:rsid w:val="00850419"/>
    <w:rsid w:val="00851D87"/>
    <w:rsid w:val="0085228D"/>
    <w:rsid w:val="00856DBB"/>
    <w:rsid w:val="008574F4"/>
    <w:rsid w:val="0085799C"/>
    <w:rsid w:val="00857E50"/>
    <w:rsid w:val="00860E97"/>
    <w:rsid w:val="00861172"/>
    <w:rsid w:val="00862D1A"/>
    <w:rsid w:val="008633CF"/>
    <w:rsid w:val="0086451C"/>
    <w:rsid w:val="00864C9D"/>
    <w:rsid w:val="00865AC3"/>
    <w:rsid w:val="008664F4"/>
    <w:rsid w:val="0087024E"/>
    <w:rsid w:val="00870443"/>
    <w:rsid w:val="00870DD5"/>
    <w:rsid w:val="00871CD3"/>
    <w:rsid w:val="008766DB"/>
    <w:rsid w:val="00877212"/>
    <w:rsid w:val="00877478"/>
    <w:rsid w:val="00877582"/>
    <w:rsid w:val="00881530"/>
    <w:rsid w:val="00881919"/>
    <w:rsid w:val="0088239E"/>
    <w:rsid w:val="008855E9"/>
    <w:rsid w:val="00887928"/>
    <w:rsid w:val="00890EBD"/>
    <w:rsid w:val="00891730"/>
    <w:rsid w:val="008917E2"/>
    <w:rsid w:val="00894569"/>
    <w:rsid w:val="0089718A"/>
    <w:rsid w:val="008A2B38"/>
    <w:rsid w:val="008A2D05"/>
    <w:rsid w:val="008A2D68"/>
    <w:rsid w:val="008A4444"/>
    <w:rsid w:val="008A5CD3"/>
    <w:rsid w:val="008A7772"/>
    <w:rsid w:val="008B06EB"/>
    <w:rsid w:val="008B264A"/>
    <w:rsid w:val="008B26E4"/>
    <w:rsid w:val="008B4364"/>
    <w:rsid w:val="008B5B1D"/>
    <w:rsid w:val="008B69F9"/>
    <w:rsid w:val="008B7793"/>
    <w:rsid w:val="008C08EA"/>
    <w:rsid w:val="008C2882"/>
    <w:rsid w:val="008C65AA"/>
    <w:rsid w:val="008D122B"/>
    <w:rsid w:val="008D12A4"/>
    <w:rsid w:val="008D17C6"/>
    <w:rsid w:val="008D1A10"/>
    <w:rsid w:val="008D29A4"/>
    <w:rsid w:val="008D2B3F"/>
    <w:rsid w:val="008D2BDD"/>
    <w:rsid w:val="008D3AC2"/>
    <w:rsid w:val="008D418D"/>
    <w:rsid w:val="008D52C6"/>
    <w:rsid w:val="008D53C2"/>
    <w:rsid w:val="008D5B4F"/>
    <w:rsid w:val="008D690C"/>
    <w:rsid w:val="008D770D"/>
    <w:rsid w:val="008E16BA"/>
    <w:rsid w:val="008E22C9"/>
    <w:rsid w:val="008E3F3E"/>
    <w:rsid w:val="008E6044"/>
    <w:rsid w:val="008E6297"/>
    <w:rsid w:val="008E63E3"/>
    <w:rsid w:val="008E6C0E"/>
    <w:rsid w:val="008F022D"/>
    <w:rsid w:val="008F1882"/>
    <w:rsid w:val="008F57F6"/>
    <w:rsid w:val="008F5E9F"/>
    <w:rsid w:val="00901096"/>
    <w:rsid w:val="00901FEF"/>
    <w:rsid w:val="009046B5"/>
    <w:rsid w:val="009059FC"/>
    <w:rsid w:val="00905E79"/>
    <w:rsid w:val="009139C1"/>
    <w:rsid w:val="00913FF7"/>
    <w:rsid w:val="009169A8"/>
    <w:rsid w:val="00917447"/>
    <w:rsid w:val="0091773A"/>
    <w:rsid w:val="00917D3F"/>
    <w:rsid w:val="009208B1"/>
    <w:rsid w:val="00920B3A"/>
    <w:rsid w:val="00931AC9"/>
    <w:rsid w:val="00932BE1"/>
    <w:rsid w:val="009349D0"/>
    <w:rsid w:val="00934C9A"/>
    <w:rsid w:val="00935570"/>
    <w:rsid w:val="009357FC"/>
    <w:rsid w:val="00937CA6"/>
    <w:rsid w:val="00946A34"/>
    <w:rsid w:val="0094715C"/>
    <w:rsid w:val="00950114"/>
    <w:rsid w:val="00952AEA"/>
    <w:rsid w:val="00955FD1"/>
    <w:rsid w:val="0095661D"/>
    <w:rsid w:val="00956BD8"/>
    <w:rsid w:val="00961142"/>
    <w:rsid w:val="00962A2E"/>
    <w:rsid w:val="009643A1"/>
    <w:rsid w:val="0096443B"/>
    <w:rsid w:val="009653B5"/>
    <w:rsid w:val="00966B1A"/>
    <w:rsid w:val="00967D3D"/>
    <w:rsid w:val="00967EA4"/>
    <w:rsid w:val="00971979"/>
    <w:rsid w:val="0097240E"/>
    <w:rsid w:val="00972F9E"/>
    <w:rsid w:val="009733EF"/>
    <w:rsid w:val="00976236"/>
    <w:rsid w:val="009823C5"/>
    <w:rsid w:val="00983D87"/>
    <w:rsid w:val="00985C9C"/>
    <w:rsid w:val="00985FD1"/>
    <w:rsid w:val="00986664"/>
    <w:rsid w:val="00987B67"/>
    <w:rsid w:val="00990A5C"/>
    <w:rsid w:val="00991747"/>
    <w:rsid w:val="00993C18"/>
    <w:rsid w:val="00994911"/>
    <w:rsid w:val="00995D73"/>
    <w:rsid w:val="009968BD"/>
    <w:rsid w:val="009A025D"/>
    <w:rsid w:val="009A084D"/>
    <w:rsid w:val="009A08EF"/>
    <w:rsid w:val="009A1118"/>
    <w:rsid w:val="009A1E00"/>
    <w:rsid w:val="009B0856"/>
    <w:rsid w:val="009B1FDB"/>
    <w:rsid w:val="009B2DDD"/>
    <w:rsid w:val="009B357E"/>
    <w:rsid w:val="009B4CF4"/>
    <w:rsid w:val="009B5F19"/>
    <w:rsid w:val="009B655E"/>
    <w:rsid w:val="009B7362"/>
    <w:rsid w:val="009C38A8"/>
    <w:rsid w:val="009C4FEB"/>
    <w:rsid w:val="009D192A"/>
    <w:rsid w:val="009D1FEE"/>
    <w:rsid w:val="009D6649"/>
    <w:rsid w:val="009E01ED"/>
    <w:rsid w:val="009E3476"/>
    <w:rsid w:val="009E4FD0"/>
    <w:rsid w:val="009E66EC"/>
    <w:rsid w:val="009E6867"/>
    <w:rsid w:val="009F1E51"/>
    <w:rsid w:val="009F3ADC"/>
    <w:rsid w:val="009F5B84"/>
    <w:rsid w:val="009F60CD"/>
    <w:rsid w:val="009F6779"/>
    <w:rsid w:val="009F6E9E"/>
    <w:rsid w:val="009F7B80"/>
    <w:rsid w:val="00A017AD"/>
    <w:rsid w:val="00A0277F"/>
    <w:rsid w:val="00A041AE"/>
    <w:rsid w:val="00A06867"/>
    <w:rsid w:val="00A07033"/>
    <w:rsid w:val="00A075A6"/>
    <w:rsid w:val="00A11C11"/>
    <w:rsid w:val="00A11F69"/>
    <w:rsid w:val="00A1560A"/>
    <w:rsid w:val="00A17227"/>
    <w:rsid w:val="00A233B9"/>
    <w:rsid w:val="00A26CDC"/>
    <w:rsid w:val="00A27C3C"/>
    <w:rsid w:val="00A27D4D"/>
    <w:rsid w:val="00A33CCA"/>
    <w:rsid w:val="00A356B0"/>
    <w:rsid w:val="00A35CE8"/>
    <w:rsid w:val="00A35DEE"/>
    <w:rsid w:val="00A35FAD"/>
    <w:rsid w:val="00A363D6"/>
    <w:rsid w:val="00A36A6C"/>
    <w:rsid w:val="00A379E7"/>
    <w:rsid w:val="00A42C66"/>
    <w:rsid w:val="00A42D81"/>
    <w:rsid w:val="00A433F5"/>
    <w:rsid w:val="00A44AC2"/>
    <w:rsid w:val="00A44EA6"/>
    <w:rsid w:val="00A451BF"/>
    <w:rsid w:val="00A5000E"/>
    <w:rsid w:val="00A501BD"/>
    <w:rsid w:val="00A50252"/>
    <w:rsid w:val="00A50373"/>
    <w:rsid w:val="00A511C4"/>
    <w:rsid w:val="00A5333C"/>
    <w:rsid w:val="00A53D5F"/>
    <w:rsid w:val="00A53F4B"/>
    <w:rsid w:val="00A55D3E"/>
    <w:rsid w:val="00A56EE9"/>
    <w:rsid w:val="00A61250"/>
    <w:rsid w:val="00A651C4"/>
    <w:rsid w:val="00A66E60"/>
    <w:rsid w:val="00A676CE"/>
    <w:rsid w:val="00A7000C"/>
    <w:rsid w:val="00A70030"/>
    <w:rsid w:val="00A70D56"/>
    <w:rsid w:val="00A723ED"/>
    <w:rsid w:val="00A74120"/>
    <w:rsid w:val="00A76E03"/>
    <w:rsid w:val="00A81013"/>
    <w:rsid w:val="00A83047"/>
    <w:rsid w:val="00A8328B"/>
    <w:rsid w:val="00A83ED2"/>
    <w:rsid w:val="00A857A4"/>
    <w:rsid w:val="00A970FD"/>
    <w:rsid w:val="00A9733B"/>
    <w:rsid w:val="00AA023C"/>
    <w:rsid w:val="00AA2BA9"/>
    <w:rsid w:val="00AA3C53"/>
    <w:rsid w:val="00AA3FD0"/>
    <w:rsid w:val="00AA675A"/>
    <w:rsid w:val="00AA68C7"/>
    <w:rsid w:val="00AB0184"/>
    <w:rsid w:val="00AB25F7"/>
    <w:rsid w:val="00AB6820"/>
    <w:rsid w:val="00AB6EFC"/>
    <w:rsid w:val="00AC4B46"/>
    <w:rsid w:val="00AC4D0A"/>
    <w:rsid w:val="00AC585A"/>
    <w:rsid w:val="00AD0B4C"/>
    <w:rsid w:val="00AD16D6"/>
    <w:rsid w:val="00AD2A38"/>
    <w:rsid w:val="00AD41E3"/>
    <w:rsid w:val="00AD48FB"/>
    <w:rsid w:val="00AD55FC"/>
    <w:rsid w:val="00AD5DFD"/>
    <w:rsid w:val="00AD6774"/>
    <w:rsid w:val="00AD6E25"/>
    <w:rsid w:val="00AD73A3"/>
    <w:rsid w:val="00AE2AFD"/>
    <w:rsid w:val="00AE4987"/>
    <w:rsid w:val="00AE519F"/>
    <w:rsid w:val="00AF2293"/>
    <w:rsid w:val="00AF3983"/>
    <w:rsid w:val="00AF51A5"/>
    <w:rsid w:val="00AF5C7C"/>
    <w:rsid w:val="00AF6E11"/>
    <w:rsid w:val="00B0290B"/>
    <w:rsid w:val="00B03016"/>
    <w:rsid w:val="00B03C28"/>
    <w:rsid w:val="00B03DBD"/>
    <w:rsid w:val="00B03FCF"/>
    <w:rsid w:val="00B07637"/>
    <w:rsid w:val="00B076BA"/>
    <w:rsid w:val="00B07C68"/>
    <w:rsid w:val="00B11341"/>
    <w:rsid w:val="00B1451B"/>
    <w:rsid w:val="00B14BBB"/>
    <w:rsid w:val="00B158E6"/>
    <w:rsid w:val="00B16662"/>
    <w:rsid w:val="00B176F4"/>
    <w:rsid w:val="00B17E68"/>
    <w:rsid w:val="00B20824"/>
    <w:rsid w:val="00B22AB1"/>
    <w:rsid w:val="00B22B1B"/>
    <w:rsid w:val="00B23683"/>
    <w:rsid w:val="00B24231"/>
    <w:rsid w:val="00B251D7"/>
    <w:rsid w:val="00B263C5"/>
    <w:rsid w:val="00B26647"/>
    <w:rsid w:val="00B26FF7"/>
    <w:rsid w:val="00B272F1"/>
    <w:rsid w:val="00B27EAC"/>
    <w:rsid w:val="00B325CF"/>
    <w:rsid w:val="00B33A5A"/>
    <w:rsid w:val="00B34726"/>
    <w:rsid w:val="00B34AAC"/>
    <w:rsid w:val="00B3758B"/>
    <w:rsid w:val="00B400F4"/>
    <w:rsid w:val="00B4106D"/>
    <w:rsid w:val="00B42999"/>
    <w:rsid w:val="00B44548"/>
    <w:rsid w:val="00B455AA"/>
    <w:rsid w:val="00B456DE"/>
    <w:rsid w:val="00B469A2"/>
    <w:rsid w:val="00B5035B"/>
    <w:rsid w:val="00B51BD4"/>
    <w:rsid w:val="00B52885"/>
    <w:rsid w:val="00B566EF"/>
    <w:rsid w:val="00B5792A"/>
    <w:rsid w:val="00B6120C"/>
    <w:rsid w:val="00B628EF"/>
    <w:rsid w:val="00B6444B"/>
    <w:rsid w:val="00B65EE0"/>
    <w:rsid w:val="00B66A33"/>
    <w:rsid w:val="00B6758A"/>
    <w:rsid w:val="00B71EB7"/>
    <w:rsid w:val="00B7405D"/>
    <w:rsid w:val="00B75DFC"/>
    <w:rsid w:val="00B75FDA"/>
    <w:rsid w:val="00B8018A"/>
    <w:rsid w:val="00B82969"/>
    <w:rsid w:val="00B82DA2"/>
    <w:rsid w:val="00B85B04"/>
    <w:rsid w:val="00B86D0F"/>
    <w:rsid w:val="00B9116C"/>
    <w:rsid w:val="00B91D79"/>
    <w:rsid w:val="00B94376"/>
    <w:rsid w:val="00B94684"/>
    <w:rsid w:val="00B977CB"/>
    <w:rsid w:val="00BA080C"/>
    <w:rsid w:val="00BA0E30"/>
    <w:rsid w:val="00BA28A4"/>
    <w:rsid w:val="00BA4E67"/>
    <w:rsid w:val="00BA5330"/>
    <w:rsid w:val="00BA6BA3"/>
    <w:rsid w:val="00BB03CC"/>
    <w:rsid w:val="00BB131F"/>
    <w:rsid w:val="00BB1B84"/>
    <w:rsid w:val="00BB220F"/>
    <w:rsid w:val="00BB3749"/>
    <w:rsid w:val="00BB41C2"/>
    <w:rsid w:val="00BB560E"/>
    <w:rsid w:val="00BB754D"/>
    <w:rsid w:val="00BB7AE4"/>
    <w:rsid w:val="00BC0642"/>
    <w:rsid w:val="00BC1797"/>
    <w:rsid w:val="00BC3C46"/>
    <w:rsid w:val="00BC49A3"/>
    <w:rsid w:val="00BC5988"/>
    <w:rsid w:val="00BC5EFA"/>
    <w:rsid w:val="00BC6116"/>
    <w:rsid w:val="00BC62E7"/>
    <w:rsid w:val="00BC646C"/>
    <w:rsid w:val="00BD19B7"/>
    <w:rsid w:val="00BD2FBE"/>
    <w:rsid w:val="00BD4531"/>
    <w:rsid w:val="00BD4F9C"/>
    <w:rsid w:val="00BD57FA"/>
    <w:rsid w:val="00BD694D"/>
    <w:rsid w:val="00BE00CE"/>
    <w:rsid w:val="00BE0D41"/>
    <w:rsid w:val="00BE1152"/>
    <w:rsid w:val="00BE3627"/>
    <w:rsid w:val="00BE5E55"/>
    <w:rsid w:val="00BE68BE"/>
    <w:rsid w:val="00BE74F4"/>
    <w:rsid w:val="00BF11C1"/>
    <w:rsid w:val="00BF2BB4"/>
    <w:rsid w:val="00BF2DCF"/>
    <w:rsid w:val="00BF2EAF"/>
    <w:rsid w:val="00BF400C"/>
    <w:rsid w:val="00BF44EA"/>
    <w:rsid w:val="00C00B2E"/>
    <w:rsid w:val="00C01394"/>
    <w:rsid w:val="00C01576"/>
    <w:rsid w:val="00C0340E"/>
    <w:rsid w:val="00C04CFA"/>
    <w:rsid w:val="00C070D4"/>
    <w:rsid w:val="00C106DC"/>
    <w:rsid w:val="00C17A31"/>
    <w:rsid w:val="00C20822"/>
    <w:rsid w:val="00C20B60"/>
    <w:rsid w:val="00C21DEF"/>
    <w:rsid w:val="00C23017"/>
    <w:rsid w:val="00C23F2E"/>
    <w:rsid w:val="00C24DF4"/>
    <w:rsid w:val="00C24ED0"/>
    <w:rsid w:val="00C26FCF"/>
    <w:rsid w:val="00C27613"/>
    <w:rsid w:val="00C30C0E"/>
    <w:rsid w:val="00C3130E"/>
    <w:rsid w:val="00C329D9"/>
    <w:rsid w:val="00C333D7"/>
    <w:rsid w:val="00C37668"/>
    <w:rsid w:val="00C40206"/>
    <w:rsid w:val="00C45085"/>
    <w:rsid w:val="00C450D8"/>
    <w:rsid w:val="00C450E2"/>
    <w:rsid w:val="00C456AA"/>
    <w:rsid w:val="00C4756D"/>
    <w:rsid w:val="00C50547"/>
    <w:rsid w:val="00C513CA"/>
    <w:rsid w:val="00C52400"/>
    <w:rsid w:val="00C52EDA"/>
    <w:rsid w:val="00C53840"/>
    <w:rsid w:val="00C53A78"/>
    <w:rsid w:val="00C549A2"/>
    <w:rsid w:val="00C55034"/>
    <w:rsid w:val="00C61313"/>
    <w:rsid w:val="00C62CF5"/>
    <w:rsid w:val="00C67484"/>
    <w:rsid w:val="00C708D8"/>
    <w:rsid w:val="00C7177E"/>
    <w:rsid w:val="00C71DBF"/>
    <w:rsid w:val="00C73157"/>
    <w:rsid w:val="00C77C1E"/>
    <w:rsid w:val="00C832CB"/>
    <w:rsid w:val="00C83363"/>
    <w:rsid w:val="00C83400"/>
    <w:rsid w:val="00C83897"/>
    <w:rsid w:val="00C85BEA"/>
    <w:rsid w:val="00C869BC"/>
    <w:rsid w:val="00C90EBE"/>
    <w:rsid w:val="00C9114C"/>
    <w:rsid w:val="00C9142F"/>
    <w:rsid w:val="00C92612"/>
    <w:rsid w:val="00C93C45"/>
    <w:rsid w:val="00C94D4E"/>
    <w:rsid w:val="00C94E5E"/>
    <w:rsid w:val="00C95D84"/>
    <w:rsid w:val="00C95DCD"/>
    <w:rsid w:val="00C9743E"/>
    <w:rsid w:val="00CA0CDA"/>
    <w:rsid w:val="00CA152A"/>
    <w:rsid w:val="00CA1791"/>
    <w:rsid w:val="00CA2F3E"/>
    <w:rsid w:val="00CA3474"/>
    <w:rsid w:val="00CA3871"/>
    <w:rsid w:val="00CA3B26"/>
    <w:rsid w:val="00CA3E5C"/>
    <w:rsid w:val="00CA4C95"/>
    <w:rsid w:val="00CA506A"/>
    <w:rsid w:val="00CA7319"/>
    <w:rsid w:val="00CA74CC"/>
    <w:rsid w:val="00CB1775"/>
    <w:rsid w:val="00CB1A59"/>
    <w:rsid w:val="00CB3AFE"/>
    <w:rsid w:val="00CB447F"/>
    <w:rsid w:val="00CB4FF8"/>
    <w:rsid w:val="00CC1A20"/>
    <w:rsid w:val="00CC23DF"/>
    <w:rsid w:val="00CC57F2"/>
    <w:rsid w:val="00CC5FD1"/>
    <w:rsid w:val="00CC7581"/>
    <w:rsid w:val="00CD21FD"/>
    <w:rsid w:val="00CD30C7"/>
    <w:rsid w:val="00CD5219"/>
    <w:rsid w:val="00CD545B"/>
    <w:rsid w:val="00CD65FD"/>
    <w:rsid w:val="00CD69C0"/>
    <w:rsid w:val="00CD705E"/>
    <w:rsid w:val="00CE04FE"/>
    <w:rsid w:val="00CE0E7D"/>
    <w:rsid w:val="00CE1129"/>
    <w:rsid w:val="00CE1E55"/>
    <w:rsid w:val="00CE214C"/>
    <w:rsid w:val="00CE2D8A"/>
    <w:rsid w:val="00CE47AA"/>
    <w:rsid w:val="00CE517D"/>
    <w:rsid w:val="00CE6B55"/>
    <w:rsid w:val="00CF079A"/>
    <w:rsid w:val="00CF3AE2"/>
    <w:rsid w:val="00CF51C8"/>
    <w:rsid w:val="00CF6175"/>
    <w:rsid w:val="00CF6316"/>
    <w:rsid w:val="00CF6EB8"/>
    <w:rsid w:val="00D00706"/>
    <w:rsid w:val="00D010AF"/>
    <w:rsid w:val="00D01381"/>
    <w:rsid w:val="00D076D0"/>
    <w:rsid w:val="00D12483"/>
    <w:rsid w:val="00D132F0"/>
    <w:rsid w:val="00D13818"/>
    <w:rsid w:val="00D163A2"/>
    <w:rsid w:val="00D167F5"/>
    <w:rsid w:val="00D213D0"/>
    <w:rsid w:val="00D21AD9"/>
    <w:rsid w:val="00D24DCF"/>
    <w:rsid w:val="00D25174"/>
    <w:rsid w:val="00D25A77"/>
    <w:rsid w:val="00D275B6"/>
    <w:rsid w:val="00D33438"/>
    <w:rsid w:val="00D336B6"/>
    <w:rsid w:val="00D35B51"/>
    <w:rsid w:val="00D35C49"/>
    <w:rsid w:val="00D36EC8"/>
    <w:rsid w:val="00D37701"/>
    <w:rsid w:val="00D41243"/>
    <w:rsid w:val="00D430C5"/>
    <w:rsid w:val="00D4491F"/>
    <w:rsid w:val="00D50053"/>
    <w:rsid w:val="00D50690"/>
    <w:rsid w:val="00D50BB4"/>
    <w:rsid w:val="00D52B3A"/>
    <w:rsid w:val="00D57EE2"/>
    <w:rsid w:val="00D61E15"/>
    <w:rsid w:val="00D64ED2"/>
    <w:rsid w:val="00D71549"/>
    <w:rsid w:val="00D723E1"/>
    <w:rsid w:val="00D77948"/>
    <w:rsid w:val="00D8130D"/>
    <w:rsid w:val="00D83D9C"/>
    <w:rsid w:val="00D85DF8"/>
    <w:rsid w:val="00D86045"/>
    <w:rsid w:val="00D9183F"/>
    <w:rsid w:val="00D91C56"/>
    <w:rsid w:val="00D92535"/>
    <w:rsid w:val="00D9349B"/>
    <w:rsid w:val="00DA1467"/>
    <w:rsid w:val="00DA1936"/>
    <w:rsid w:val="00DA196B"/>
    <w:rsid w:val="00DA3616"/>
    <w:rsid w:val="00DA6005"/>
    <w:rsid w:val="00DA6E28"/>
    <w:rsid w:val="00DB033B"/>
    <w:rsid w:val="00DC20BA"/>
    <w:rsid w:val="00DC2354"/>
    <w:rsid w:val="00DC3717"/>
    <w:rsid w:val="00DC4BE8"/>
    <w:rsid w:val="00DC516B"/>
    <w:rsid w:val="00DC6C06"/>
    <w:rsid w:val="00DC718D"/>
    <w:rsid w:val="00DC770A"/>
    <w:rsid w:val="00DC7759"/>
    <w:rsid w:val="00DD258D"/>
    <w:rsid w:val="00DD2B2B"/>
    <w:rsid w:val="00DD2B84"/>
    <w:rsid w:val="00DD30FE"/>
    <w:rsid w:val="00DD56DA"/>
    <w:rsid w:val="00DD61AA"/>
    <w:rsid w:val="00DE0F6E"/>
    <w:rsid w:val="00DE1A68"/>
    <w:rsid w:val="00DE25B8"/>
    <w:rsid w:val="00DE2CB5"/>
    <w:rsid w:val="00DE36C4"/>
    <w:rsid w:val="00DE3F11"/>
    <w:rsid w:val="00DE4467"/>
    <w:rsid w:val="00DE5DD1"/>
    <w:rsid w:val="00DE69CF"/>
    <w:rsid w:val="00DF12A2"/>
    <w:rsid w:val="00DF15DE"/>
    <w:rsid w:val="00DF18D3"/>
    <w:rsid w:val="00DF2014"/>
    <w:rsid w:val="00DF24A5"/>
    <w:rsid w:val="00DF4550"/>
    <w:rsid w:val="00DF537B"/>
    <w:rsid w:val="00DF592D"/>
    <w:rsid w:val="00E019D3"/>
    <w:rsid w:val="00E029B3"/>
    <w:rsid w:val="00E038C6"/>
    <w:rsid w:val="00E03EF5"/>
    <w:rsid w:val="00E052D8"/>
    <w:rsid w:val="00E128B2"/>
    <w:rsid w:val="00E14A12"/>
    <w:rsid w:val="00E155E3"/>
    <w:rsid w:val="00E168DC"/>
    <w:rsid w:val="00E20197"/>
    <w:rsid w:val="00E206DF"/>
    <w:rsid w:val="00E21F6F"/>
    <w:rsid w:val="00E22229"/>
    <w:rsid w:val="00E23CE3"/>
    <w:rsid w:val="00E31310"/>
    <w:rsid w:val="00E34156"/>
    <w:rsid w:val="00E351AC"/>
    <w:rsid w:val="00E35E52"/>
    <w:rsid w:val="00E36BEA"/>
    <w:rsid w:val="00E416FB"/>
    <w:rsid w:val="00E42C25"/>
    <w:rsid w:val="00E42F12"/>
    <w:rsid w:val="00E4410F"/>
    <w:rsid w:val="00E44792"/>
    <w:rsid w:val="00E5211B"/>
    <w:rsid w:val="00E521F6"/>
    <w:rsid w:val="00E52976"/>
    <w:rsid w:val="00E54BD4"/>
    <w:rsid w:val="00E56062"/>
    <w:rsid w:val="00E5612E"/>
    <w:rsid w:val="00E6168B"/>
    <w:rsid w:val="00E639C1"/>
    <w:rsid w:val="00E6418A"/>
    <w:rsid w:val="00E64A01"/>
    <w:rsid w:val="00E64A59"/>
    <w:rsid w:val="00E65171"/>
    <w:rsid w:val="00E66B02"/>
    <w:rsid w:val="00E66D36"/>
    <w:rsid w:val="00E67AB4"/>
    <w:rsid w:val="00E70F4E"/>
    <w:rsid w:val="00E7127F"/>
    <w:rsid w:val="00E72151"/>
    <w:rsid w:val="00E72C08"/>
    <w:rsid w:val="00E8367E"/>
    <w:rsid w:val="00E8605F"/>
    <w:rsid w:val="00E97AD4"/>
    <w:rsid w:val="00EA02F6"/>
    <w:rsid w:val="00EA1C5A"/>
    <w:rsid w:val="00EA1DAF"/>
    <w:rsid w:val="00EA52A1"/>
    <w:rsid w:val="00EA61B7"/>
    <w:rsid w:val="00EA67AD"/>
    <w:rsid w:val="00EA77CD"/>
    <w:rsid w:val="00EB0004"/>
    <w:rsid w:val="00EB0539"/>
    <w:rsid w:val="00EB1AD8"/>
    <w:rsid w:val="00EB20C2"/>
    <w:rsid w:val="00EB2CAA"/>
    <w:rsid w:val="00EB4642"/>
    <w:rsid w:val="00EB64AE"/>
    <w:rsid w:val="00EB71A1"/>
    <w:rsid w:val="00EC1714"/>
    <w:rsid w:val="00EC5E61"/>
    <w:rsid w:val="00ED221F"/>
    <w:rsid w:val="00ED2783"/>
    <w:rsid w:val="00ED27FE"/>
    <w:rsid w:val="00ED5EDB"/>
    <w:rsid w:val="00ED63C1"/>
    <w:rsid w:val="00ED67EA"/>
    <w:rsid w:val="00EE135D"/>
    <w:rsid w:val="00EE2477"/>
    <w:rsid w:val="00EE3FBD"/>
    <w:rsid w:val="00EE7A0B"/>
    <w:rsid w:val="00EF04BF"/>
    <w:rsid w:val="00EF0EB3"/>
    <w:rsid w:val="00EF4B8E"/>
    <w:rsid w:val="00EF52E7"/>
    <w:rsid w:val="00EF6E5A"/>
    <w:rsid w:val="00F01B21"/>
    <w:rsid w:val="00F04EDD"/>
    <w:rsid w:val="00F062F7"/>
    <w:rsid w:val="00F064FC"/>
    <w:rsid w:val="00F07103"/>
    <w:rsid w:val="00F102FF"/>
    <w:rsid w:val="00F11933"/>
    <w:rsid w:val="00F1234A"/>
    <w:rsid w:val="00F13183"/>
    <w:rsid w:val="00F14076"/>
    <w:rsid w:val="00F14122"/>
    <w:rsid w:val="00F14A53"/>
    <w:rsid w:val="00F14A64"/>
    <w:rsid w:val="00F1674C"/>
    <w:rsid w:val="00F1763E"/>
    <w:rsid w:val="00F21643"/>
    <w:rsid w:val="00F21C54"/>
    <w:rsid w:val="00F2266B"/>
    <w:rsid w:val="00F22E35"/>
    <w:rsid w:val="00F2438B"/>
    <w:rsid w:val="00F249F5"/>
    <w:rsid w:val="00F25FD3"/>
    <w:rsid w:val="00F27946"/>
    <w:rsid w:val="00F31D72"/>
    <w:rsid w:val="00F3216A"/>
    <w:rsid w:val="00F346EF"/>
    <w:rsid w:val="00F3767A"/>
    <w:rsid w:val="00F378B0"/>
    <w:rsid w:val="00F40122"/>
    <w:rsid w:val="00F40430"/>
    <w:rsid w:val="00F43681"/>
    <w:rsid w:val="00F449B8"/>
    <w:rsid w:val="00F46C47"/>
    <w:rsid w:val="00F47B76"/>
    <w:rsid w:val="00F51144"/>
    <w:rsid w:val="00F627C8"/>
    <w:rsid w:val="00F64B8E"/>
    <w:rsid w:val="00F6518A"/>
    <w:rsid w:val="00F7108E"/>
    <w:rsid w:val="00F71577"/>
    <w:rsid w:val="00F717F4"/>
    <w:rsid w:val="00F72200"/>
    <w:rsid w:val="00F74483"/>
    <w:rsid w:val="00F76A23"/>
    <w:rsid w:val="00F813A2"/>
    <w:rsid w:val="00F81882"/>
    <w:rsid w:val="00F82CB3"/>
    <w:rsid w:val="00F92947"/>
    <w:rsid w:val="00F93ABE"/>
    <w:rsid w:val="00F93E4F"/>
    <w:rsid w:val="00F960FA"/>
    <w:rsid w:val="00F97102"/>
    <w:rsid w:val="00F9784B"/>
    <w:rsid w:val="00FA0EA6"/>
    <w:rsid w:val="00FA3F42"/>
    <w:rsid w:val="00FA4334"/>
    <w:rsid w:val="00FA4E5D"/>
    <w:rsid w:val="00FA5091"/>
    <w:rsid w:val="00FA5D6A"/>
    <w:rsid w:val="00FA5E60"/>
    <w:rsid w:val="00FB1766"/>
    <w:rsid w:val="00FB2C43"/>
    <w:rsid w:val="00FB42CF"/>
    <w:rsid w:val="00FB43DA"/>
    <w:rsid w:val="00FB4DA1"/>
    <w:rsid w:val="00FB6C54"/>
    <w:rsid w:val="00FB71D5"/>
    <w:rsid w:val="00FC043D"/>
    <w:rsid w:val="00FC0F76"/>
    <w:rsid w:val="00FC1DD5"/>
    <w:rsid w:val="00FC280F"/>
    <w:rsid w:val="00FC2C85"/>
    <w:rsid w:val="00FC5C46"/>
    <w:rsid w:val="00FC66D5"/>
    <w:rsid w:val="00FC7CE6"/>
    <w:rsid w:val="00FD3BFA"/>
    <w:rsid w:val="00FD668D"/>
    <w:rsid w:val="00FD6883"/>
    <w:rsid w:val="00FD6988"/>
    <w:rsid w:val="00FD74EA"/>
    <w:rsid w:val="00FE1A10"/>
    <w:rsid w:val="00FE217B"/>
    <w:rsid w:val="00FE2B04"/>
    <w:rsid w:val="00FE3296"/>
    <w:rsid w:val="00FE3A37"/>
    <w:rsid w:val="00FE47E6"/>
    <w:rsid w:val="00FE6B29"/>
    <w:rsid w:val="00FF1B40"/>
    <w:rsid w:val="00FF2C14"/>
    <w:rsid w:val="00FF50C8"/>
    <w:rsid w:val="00FF57A0"/>
    <w:rsid w:val="00FF5B2C"/>
    <w:rsid w:val="00FF6059"/>
    <w:rsid w:val="00FF6D8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66A"/>
    <w:pPr>
      <w:overflowPunct w:val="0"/>
      <w:autoSpaceDE w:val="0"/>
      <w:autoSpaceDN w:val="0"/>
      <w:adjustRightInd w:val="0"/>
      <w:textAlignment w:val="baseline"/>
    </w:pPr>
  </w:style>
  <w:style w:type="paragraph" w:styleId="Titre1">
    <w:name w:val="heading 1"/>
    <w:basedOn w:val="Normal"/>
    <w:next w:val="Normal"/>
    <w:qFormat/>
    <w:rsid w:val="0026466A"/>
    <w:pPr>
      <w:keepNext/>
      <w:spacing w:before="240" w:after="60"/>
      <w:outlineLvl w:val="0"/>
    </w:pPr>
    <w:rPr>
      <w:rFonts w:ascii="Arial" w:hAnsi="Arial"/>
      <w:b/>
      <w:kern w:val="28"/>
      <w:sz w:val="28"/>
    </w:rPr>
  </w:style>
  <w:style w:type="paragraph" w:styleId="Titre2">
    <w:name w:val="heading 2"/>
    <w:basedOn w:val="Normal"/>
    <w:next w:val="Normal"/>
    <w:qFormat/>
    <w:rsid w:val="0026466A"/>
    <w:pPr>
      <w:keepNext/>
      <w:jc w:val="center"/>
      <w:outlineLvl w:val="1"/>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rsid w:val="0026466A"/>
    <w:pPr>
      <w:ind w:right="283" w:hanging="283"/>
    </w:pPr>
  </w:style>
  <w:style w:type="paragraph" w:styleId="Corpsdetexte">
    <w:name w:val="Body Text"/>
    <w:basedOn w:val="Normal"/>
    <w:rsid w:val="0026466A"/>
    <w:pPr>
      <w:spacing w:after="120"/>
    </w:pPr>
  </w:style>
  <w:style w:type="paragraph" w:styleId="Pieddepage">
    <w:name w:val="footer"/>
    <w:basedOn w:val="Normal"/>
    <w:rsid w:val="0026466A"/>
    <w:pPr>
      <w:tabs>
        <w:tab w:val="center" w:pos="4536"/>
        <w:tab w:val="right" w:pos="9072"/>
      </w:tabs>
    </w:pPr>
  </w:style>
  <w:style w:type="character" w:styleId="Numrodepage">
    <w:name w:val="page number"/>
    <w:basedOn w:val="Policepardfaut"/>
    <w:rsid w:val="0026466A"/>
  </w:style>
  <w:style w:type="paragraph" w:styleId="En-tte">
    <w:name w:val="header"/>
    <w:basedOn w:val="Normal"/>
    <w:rsid w:val="0026466A"/>
    <w:pPr>
      <w:tabs>
        <w:tab w:val="center" w:pos="4153"/>
        <w:tab w:val="right" w:pos="8306"/>
      </w:tabs>
    </w:pPr>
  </w:style>
  <w:style w:type="paragraph" w:customStyle="1" w:styleId="Corpsdetexte21">
    <w:name w:val="Corps de texte 21"/>
    <w:basedOn w:val="Normal"/>
    <w:rsid w:val="0026466A"/>
    <w:pPr>
      <w:jc w:val="center"/>
    </w:pPr>
    <w:rPr>
      <w:rFonts w:ascii="Arial" w:hAnsi="Arial"/>
      <w:sz w:val="22"/>
    </w:rPr>
  </w:style>
  <w:style w:type="paragraph" w:styleId="Explorateurdedocuments">
    <w:name w:val="Document Map"/>
    <w:basedOn w:val="Normal"/>
    <w:semiHidden/>
    <w:rsid w:val="00EF52E7"/>
    <w:pPr>
      <w:shd w:val="clear" w:color="auto" w:fill="000080"/>
    </w:pPr>
    <w:rPr>
      <w:rFonts w:ascii="Tahoma" w:hAnsi="Tahoma" w:cs="Tahoma"/>
    </w:rPr>
  </w:style>
  <w:style w:type="table" w:styleId="Listemoyenne2-Accent1">
    <w:name w:val="Medium List 2 Accent 1"/>
    <w:basedOn w:val="TableauNormal"/>
    <w:uiPriority w:val="66"/>
    <w:rsid w:val="00036D2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ED27F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emoyenne1-Accent11">
    <w:name w:val="Liste moyenne 1 - Accent 11"/>
    <w:basedOn w:val="TableauNormal"/>
    <w:uiPriority w:val="65"/>
    <w:rsid w:val="00ED27F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rilledutableau">
    <w:name w:val="Table Grid"/>
    <w:basedOn w:val="TableauNormal"/>
    <w:rsid w:val="00C20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1-Accent1">
    <w:name w:val="Medium Grid 1 Accent 1"/>
    <w:basedOn w:val="TableauNormal"/>
    <w:uiPriority w:val="67"/>
    <w:rsid w:val="00C2082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emoyenne2-Accent5">
    <w:name w:val="Medium List 2 Accent 5"/>
    <w:basedOn w:val="TableauNormal"/>
    <w:uiPriority w:val="66"/>
    <w:rsid w:val="00C20822"/>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2-Accent1">
    <w:name w:val="Medium Grid 2 Accent 1"/>
    <w:basedOn w:val="TableauNormal"/>
    <w:uiPriority w:val="68"/>
    <w:rsid w:val="00C20822"/>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3-Accent1">
    <w:name w:val="Medium Grid 3 Accent 1"/>
    <w:basedOn w:val="TableauNormal"/>
    <w:uiPriority w:val="69"/>
    <w:rsid w:val="00C2082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66A"/>
    <w:pPr>
      <w:overflowPunct w:val="0"/>
      <w:autoSpaceDE w:val="0"/>
      <w:autoSpaceDN w:val="0"/>
      <w:adjustRightInd w:val="0"/>
      <w:textAlignment w:val="baseline"/>
    </w:pPr>
  </w:style>
  <w:style w:type="paragraph" w:styleId="Titre1">
    <w:name w:val="heading 1"/>
    <w:basedOn w:val="Normal"/>
    <w:next w:val="Normal"/>
    <w:qFormat/>
    <w:rsid w:val="0026466A"/>
    <w:pPr>
      <w:keepNext/>
      <w:spacing w:before="240" w:after="60"/>
      <w:outlineLvl w:val="0"/>
    </w:pPr>
    <w:rPr>
      <w:rFonts w:ascii="Arial" w:hAnsi="Arial"/>
      <w:b/>
      <w:kern w:val="28"/>
      <w:sz w:val="28"/>
    </w:rPr>
  </w:style>
  <w:style w:type="paragraph" w:styleId="Titre2">
    <w:name w:val="heading 2"/>
    <w:basedOn w:val="Normal"/>
    <w:next w:val="Normal"/>
    <w:qFormat/>
    <w:rsid w:val="0026466A"/>
    <w:pPr>
      <w:keepNext/>
      <w:jc w:val="center"/>
      <w:outlineLvl w:val="1"/>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rsid w:val="0026466A"/>
    <w:pPr>
      <w:ind w:right="283" w:hanging="283"/>
    </w:pPr>
  </w:style>
  <w:style w:type="paragraph" w:styleId="Corpsdetexte">
    <w:name w:val="Body Text"/>
    <w:basedOn w:val="Normal"/>
    <w:rsid w:val="0026466A"/>
    <w:pPr>
      <w:spacing w:after="120"/>
    </w:pPr>
  </w:style>
  <w:style w:type="paragraph" w:styleId="Pieddepage">
    <w:name w:val="footer"/>
    <w:basedOn w:val="Normal"/>
    <w:rsid w:val="0026466A"/>
    <w:pPr>
      <w:tabs>
        <w:tab w:val="center" w:pos="4536"/>
        <w:tab w:val="right" w:pos="9072"/>
      </w:tabs>
    </w:pPr>
  </w:style>
  <w:style w:type="character" w:styleId="Numrodepage">
    <w:name w:val="page number"/>
    <w:basedOn w:val="Policepardfaut"/>
    <w:rsid w:val="0026466A"/>
  </w:style>
  <w:style w:type="paragraph" w:styleId="En-tte">
    <w:name w:val="header"/>
    <w:basedOn w:val="Normal"/>
    <w:rsid w:val="0026466A"/>
    <w:pPr>
      <w:tabs>
        <w:tab w:val="center" w:pos="4153"/>
        <w:tab w:val="right" w:pos="8306"/>
      </w:tabs>
    </w:pPr>
  </w:style>
  <w:style w:type="paragraph" w:customStyle="1" w:styleId="Corpsdetexte21">
    <w:name w:val="Corps de texte 21"/>
    <w:basedOn w:val="Normal"/>
    <w:rsid w:val="0026466A"/>
    <w:pPr>
      <w:jc w:val="center"/>
    </w:pPr>
    <w:rPr>
      <w:rFonts w:ascii="Arial" w:hAnsi="Arial"/>
      <w:sz w:val="22"/>
    </w:rPr>
  </w:style>
  <w:style w:type="paragraph" w:styleId="Explorateurdedocuments">
    <w:name w:val="Document Map"/>
    <w:basedOn w:val="Normal"/>
    <w:semiHidden/>
    <w:rsid w:val="00EF52E7"/>
    <w:pPr>
      <w:shd w:val="clear" w:color="auto" w:fill="000080"/>
    </w:pPr>
    <w:rPr>
      <w:rFonts w:ascii="Tahoma" w:hAnsi="Tahoma" w:cs="Tahoma"/>
    </w:rPr>
  </w:style>
  <w:style w:type="table" w:styleId="Listemoyenne2-Accent1">
    <w:name w:val="Medium List 2 Accent 1"/>
    <w:basedOn w:val="TableauNormal"/>
    <w:uiPriority w:val="66"/>
    <w:rsid w:val="00036D2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ED27F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emoyenne1-Accent11">
    <w:name w:val="Liste moyenne 1 - Accent 11"/>
    <w:basedOn w:val="TableauNormal"/>
    <w:uiPriority w:val="65"/>
    <w:rsid w:val="00ED27F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rilledutableau">
    <w:name w:val="Table Grid"/>
    <w:basedOn w:val="TableauNormal"/>
    <w:rsid w:val="00C20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1-Accent1">
    <w:name w:val="Medium Grid 1 Accent 1"/>
    <w:basedOn w:val="TableauNormal"/>
    <w:uiPriority w:val="67"/>
    <w:rsid w:val="00C2082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emoyenne2-Accent5">
    <w:name w:val="Medium List 2 Accent 5"/>
    <w:basedOn w:val="TableauNormal"/>
    <w:uiPriority w:val="66"/>
    <w:rsid w:val="00C20822"/>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2-Accent1">
    <w:name w:val="Medium Grid 2 Accent 1"/>
    <w:basedOn w:val="TableauNormal"/>
    <w:uiPriority w:val="68"/>
    <w:rsid w:val="00C20822"/>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3-Accent1">
    <w:name w:val="Medium Grid 3 Accent 1"/>
    <w:basedOn w:val="TableauNormal"/>
    <w:uiPriority w:val="69"/>
    <w:rsid w:val="00C2082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0791347">
      <w:bodyDiv w:val="1"/>
      <w:marLeft w:val="0"/>
      <w:marRight w:val="0"/>
      <w:marTop w:val="0"/>
      <w:marBottom w:val="0"/>
      <w:divBdr>
        <w:top w:val="none" w:sz="0" w:space="0" w:color="auto"/>
        <w:left w:val="none" w:sz="0" w:space="0" w:color="auto"/>
        <w:bottom w:val="none" w:sz="0" w:space="0" w:color="auto"/>
        <w:right w:val="none" w:sz="0" w:space="0" w:color="auto"/>
      </w:divBdr>
    </w:div>
    <w:div w:id="94178938">
      <w:bodyDiv w:val="1"/>
      <w:marLeft w:val="0"/>
      <w:marRight w:val="0"/>
      <w:marTop w:val="0"/>
      <w:marBottom w:val="0"/>
      <w:divBdr>
        <w:top w:val="none" w:sz="0" w:space="0" w:color="auto"/>
        <w:left w:val="none" w:sz="0" w:space="0" w:color="auto"/>
        <w:bottom w:val="none" w:sz="0" w:space="0" w:color="auto"/>
        <w:right w:val="none" w:sz="0" w:space="0" w:color="auto"/>
      </w:divBdr>
    </w:div>
    <w:div w:id="95952607">
      <w:bodyDiv w:val="1"/>
      <w:marLeft w:val="0"/>
      <w:marRight w:val="0"/>
      <w:marTop w:val="0"/>
      <w:marBottom w:val="0"/>
      <w:divBdr>
        <w:top w:val="none" w:sz="0" w:space="0" w:color="auto"/>
        <w:left w:val="none" w:sz="0" w:space="0" w:color="auto"/>
        <w:bottom w:val="none" w:sz="0" w:space="0" w:color="auto"/>
        <w:right w:val="none" w:sz="0" w:space="0" w:color="auto"/>
      </w:divBdr>
    </w:div>
    <w:div w:id="184248156">
      <w:bodyDiv w:val="1"/>
      <w:marLeft w:val="0"/>
      <w:marRight w:val="0"/>
      <w:marTop w:val="0"/>
      <w:marBottom w:val="0"/>
      <w:divBdr>
        <w:top w:val="none" w:sz="0" w:space="0" w:color="auto"/>
        <w:left w:val="none" w:sz="0" w:space="0" w:color="auto"/>
        <w:bottom w:val="none" w:sz="0" w:space="0" w:color="auto"/>
        <w:right w:val="none" w:sz="0" w:space="0" w:color="auto"/>
      </w:divBdr>
    </w:div>
    <w:div w:id="223101224">
      <w:bodyDiv w:val="1"/>
      <w:marLeft w:val="0"/>
      <w:marRight w:val="0"/>
      <w:marTop w:val="0"/>
      <w:marBottom w:val="0"/>
      <w:divBdr>
        <w:top w:val="none" w:sz="0" w:space="0" w:color="auto"/>
        <w:left w:val="none" w:sz="0" w:space="0" w:color="auto"/>
        <w:bottom w:val="none" w:sz="0" w:space="0" w:color="auto"/>
        <w:right w:val="none" w:sz="0" w:space="0" w:color="auto"/>
      </w:divBdr>
    </w:div>
    <w:div w:id="294338442">
      <w:bodyDiv w:val="1"/>
      <w:marLeft w:val="0"/>
      <w:marRight w:val="0"/>
      <w:marTop w:val="0"/>
      <w:marBottom w:val="0"/>
      <w:divBdr>
        <w:top w:val="none" w:sz="0" w:space="0" w:color="auto"/>
        <w:left w:val="none" w:sz="0" w:space="0" w:color="auto"/>
        <w:bottom w:val="none" w:sz="0" w:space="0" w:color="auto"/>
        <w:right w:val="none" w:sz="0" w:space="0" w:color="auto"/>
      </w:divBdr>
    </w:div>
    <w:div w:id="319501441">
      <w:bodyDiv w:val="1"/>
      <w:marLeft w:val="0"/>
      <w:marRight w:val="0"/>
      <w:marTop w:val="0"/>
      <w:marBottom w:val="0"/>
      <w:divBdr>
        <w:top w:val="none" w:sz="0" w:space="0" w:color="auto"/>
        <w:left w:val="none" w:sz="0" w:space="0" w:color="auto"/>
        <w:bottom w:val="none" w:sz="0" w:space="0" w:color="auto"/>
        <w:right w:val="none" w:sz="0" w:space="0" w:color="auto"/>
      </w:divBdr>
    </w:div>
    <w:div w:id="345865834">
      <w:bodyDiv w:val="1"/>
      <w:marLeft w:val="0"/>
      <w:marRight w:val="0"/>
      <w:marTop w:val="0"/>
      <w:marBottom w:val="0"/>
      <w:divBdr>
        <w:top w:val="none" w:sz="0" w:space="0" w:color="auto"/>
        <w:left w:val="none" w:sz="0" w:space="0" w:color="auto"/>
        <w:bottom w:val="none" w:sz="0" w:space="0" w:color="auto"/>
        <w:right w:val="none" w:sz="0" w:space="0" w:color="auto"/>
      </w:divBdr>
    </w:div>
    <w:div w:id="364251660">
      <w:bodyDiv w:val="1"/>
      <w:marLeft w:val="0"/>
      <w:marRight w:val="0"/>
      <w:marTop w:val="0"/>
      <w:marBottom w:val="0"/>
      <w:divBdr>
        <w:top w:val="none" w:sz="0" w:space="0" w:color="auto"/>
        <w:left w:val="none" w:sz="0" w:space="0" w:color="auto"/>
        <w:bottom w:val="none" w:sz="0" w:space="0" w:color="auto"/>
        <w:right w:val="none" w:sz="0" w:space="0" w:color="auto"/>
      </w:divBdr>
    </w:div>
    <w:div w:id="366374889">
      <w:bodyDiv w:val="1"/>
      <w:marLeft w:val="0"/>
      <w:marRight w:val="0"/>
      <w:marTop w:val="0"/>
      <w:marBottom w:val="0"/>
      <w:divBdr>
        <w:top w:val="none" w:sz="0" w:space="0" w:color="auto"/>
        <w:left w:val="none" w:sz="0" w:space="0" w:color="auto"/>
        <w:bottom w:val="none" w:sz="0" w:space="0" w:color="auto"/>
        <w:right w:val="none" w:sz="0" w:space="0" w:color="auto"/>
      </w:divBdr>
    </w:div>
    <w:div w:id="426194906">
      <w:bodyDiv w:val="1"/>
      <w:marLeft w:val="0"/>
      <w:marRight w:val="0"/>
      <w:marTop w:val="0"/>
      <w:marBottom w:val="0"/>
      <w:divBdr>
        <w:top w:val="none" w:sz="0" w:space="0" w:color="auto"/>
        <w:left w:val="none" w:sz="0" w:space="0" w:color="auto"/>
        <w:bottom w:val="none" w:sz="0" w:space="0" w:color="auto"/>
        <w:right w:val="none" w:sz="0" w:space="0" w:color="auto"/>
      </w:divBdr>
    </w:div>
    <w:div w:id="484664896">
      <w:bodyDiv w:val="1"/>
      <w:marLeft w:val="0"/>
      <w:marRight w:val="0"/>
      <w:marTop w:val="0"/>
      <w:marBottom w:val="0"/>
      <w:divBdr>
        <w:top w:val="none" w:sz="0" w:space="0" w:color="auto"/>
        <w:left w:val="none" w:sz="0" w:space="0" w:color="auto"/>
        <w:bottom w:val="none" w:sz="0" w:space="0" w:color="auto"/>
        <w:right w:val="none" w:sz="0" w:space="0" w:color="auto"/>
      </w:divBdr>
    </w:div>
    <w:div w:id="529102994">
      <w:bodyDiv w:val="1"/>
      <w:marLeft w:val="0"/>
      <w:marRight w:val="0"/>
      <w:marTop w:val="0"/>
      <w:marBottom w:val="0"/>
      <w:divBdr>
        <w:top w:val="none" w:sz="0" w:space="0" w:color="auto"/>
        <w:left w:val="none" w:sz="0" w:space="0" w:color="auto"/>
        <w:bottom w:val="none" w:sz="0" w:space="0" w:color="auto"/>
        <w:right w:val="none" w:sz="0" w:space="0" w:color="auto"/>
      </w:divBdr>
    </w:div>
    <w:div w:id="704840004">
      <w:bodyDiv w:val="1"/>
      <w:marLeft w:val="0"/>
      <w:marRight w:val="0"/>
      <w:marTop w:val="0"/>
      <w:marBottom w:val="0"/>
      <w:divBdr>
        <w:top w:val="none" w:sz="0" w:space="0" w:color="auto"/>
        <w:left w:val="none" w:sz="0" w:space="0" w:color="auto"/>
        <w:bottom w:val="none" w:sz="0" w:space="0" w:color="auto"/>
        <w:right w:val="none" w:sz="0" w:space="0" w:color="auto"/>
      </w:divBdr>
    </w:div>
    <w:div w:id="731125607">
      <w:bodyDiv w:val="1"/>
      <w:marLeft w:val="0"/>
      <w:marRight w:val="0"/>
      <w:marTop w:val="0"/>
      <w:marBottom w:val="0"/>
      <w:divBdr>
        <w:top w:val="none" w:sz="0" w:space="0" w:color="auto"/>
        <w:left w:val="none" w:sz="0" w:space="0" w:color="auto"/>
        <w:bottom w:val="none" w:sz="0" w:space="0" w:color="auto"/>
        <w:right w:val="none" w:sz="0" w:space="0" w:color="auto"/>
      </w:divBdr>
    </w:div>
    <w:div w:id="772553961">
      <w:bodyDiv w:val="1"/>
      <w:marLeft w:val="0"/>
      <w:marRight w:val="0"/>
      <w:marTop w:val="0"/>
      <w:marBottom w:val="0"/>
      <w:divBdr>
        <w:top w:val="none" w:sz="0" w:space="0" w:color="auto"/>
        <w:left w:val="none" w:sz="0" w:space="0" w:color="auto"/>
        <w:bottom w:val="none" w:sz="0" w:space="0" w:color="auto"/>
        <w:right w:val="none" w:sz="0" w:space="0" w:color="auto"/>
      </w:divBdr>
    </w:div>
    <w:div w:id="795412372">
      <w:bodyDiv w:val="1"/>
      <w:marLeft w:val="0"/>
      <w:marRight w:val="0"/>
      <w:marTop w:val="0"/>
      <w:marBottom w:val="0"/>
      <w:divBdr>
        <w:top w:val="none" w:sz="0" w:space="0" w:color="auto"/>
        <w:left w:val="none" w:sz="0" w:space="0" w:color="auto"/>
        <w:bottom w:val="none" w:sz="0" w:space="0" w:color="auto"/>
        <w:right w:val="none" w:sz="0" w:space="0" w:color="auto"/>
      </w:divBdr>
    </w:div>
    <w:div w:id="828520098">
      <w:bodyDiv w:val="1"/>
      <w:marLeft w:val="0"/>
      <w:marRight w:val="0"/>
      <w:marTop w:val="0"/>
      <w:marBottom w:val="0"/>
      <w:divBdr>
        <w:top w:val="none" w:sz="0" w:space="0" w:color="auto"/>
        <w:left w:val="none" w:sz="0" w:space="0" w:color="auto"/>
        <w:bottom w:val="none" w:sz="0" w:space="0" w:color="auto"/>
        <w:right w:val="none" w:sz="0" w:space="0" w:color="auto"/>
      </w:divBdr>
    </w:div>
    <w:div w:id="1346132544">
      <w:bodyDiv w:val="1"/>
      <w:marLeft w:val="0"/>
      <w:marRight w:val="0"/>
      <w:marTop w:val="0"/>
      <w:marBottom w:val="0"/>
      <w:divBdr>
        <w:top w:val="none" w:sz="0" w:space="0" w:color="auto"/>
        <w:left w:val="none" w:sz="0" w:space="0" w:color="auto"/>
        <w:bottom w:val="none" w:sz="0" w:space="0" w:color="auto"/>
        <w:right w:val="none" w:sz="0" w:space="0" w:color="auto"/>
      </w:divBdr>
    </w:div>
    <w:div w:id="1453481577">
      <w:bodyDiv w:val="1"/>
      <w:marLeft w:val="0"/>
      <w:marRight w:val="0"/>
      <w:marTop w:val="0"/>
      <w:marBottom w:val="0"/>
      <w:divBdr>
        <w:top w:val="none" w:sz="0" w:space="0" w:color="auto"/>
        <w:left w:val="none" w:sz="0" w:space="0" w:color="auto"/>
        <w:bottom w:val="none" w:sz="0" w:space="0" w:color="auto"/>
        <w:right w:val="none" w:sz="0" w:space="0" w:color="auto"/>
      </w:divBdr>
    </w:div>
    <w:div w:id="1558593267">
      <w:bodyDiv w:val="1"/>
      <w:marLeft w:val="0"/>
      <w:marRight w:val="0"/>
      <w:marTop w:val="0"/>
      <w:marBottom w:val="0"/>
      <w:divBdr>
        <w:top w:val="none" w:sz="0" w:space="0" w:color="auto"/>
        <w:left w:val="none" w:sz="0" w:space="0" w:color="auto"/>
        <w:bottom w:val="none" w:sz="0" w:space="0" w:color="auto"/>
        <w:right w:val="none" w:sz="0" w:space="0" w:color="auto"/>
      </w:divBdr>
    </w:div>
    <w:div w:id="1585649478">
      <w:bodyDiv w:val="1"/>
      <w:marLeft w:val="0"/>
      <w:marRight w:val="0"/>
      <w:marTop w:val="0"/>
      <w:marBottom w:val="0"/>
      <w:divBdr>
        <w:top w:val="none" w:sz="0" w:space="0" w:color="auto"/>
        <w:left w:val="none" w:sz="0" w:space="0" w:color="auto"/>
        <w:bottom w:val="none" w:sz="0" w:space="0" w:color="auto"/>
        <w:right w:val="none" w:sz="0" w:space="0" w:color="auto"/>
      </w:divBdr>
    </w:div>
    <w:div w:id="1594896467">
      <w:bodyDiv w:val="1"/>
      <w:marLeft w:val="0"/>
      <w:marRight w:val="0"/>
      <w:marTop w:val="0"/>
      <w:marBottom w:val="0"/>
      <w:divBdr>
        <w:top w:val="none" w:sz="0" w:space="0" w:color="auto"/>
        <w:left w:val="none" w:sz="0" w:space="0" w:color="auto"/>
        <w:bottom w:val="none" w:sz="0" w:space="0" w:color="auto"/>
        <w:right w:val="none" w:sz="0" w:space="0" w:color="auto"/>
      </w:divBdr>
    </w:div>
    <w:div w:id="1764302075">
      <w:bodyDiv w:val="1"/>
      <w:marLeft w:val="0"/>
      <w:marRight w:val="0"/>
      <w:marTop w:val="0"/>
      <w:marBottom w:val="0"/>
      <w:divBdr>
        <w:top w:val="none" w:sz="0" w:space="0" w:color="auto"/>
        <w:left w:val="none" w:sz="0" w:space="0" w:color="auto"/>
        <w:bottom w:val="none" w:sz="0" w:space="0" w:color="auto"/>
        <w:right w:val="none" w:sz="0" w:space="0" w:color="auto"/>
      </w:divBdr>
    </w:div>
    <w:div w:id="1806237984">
      <w:bodyDiv w:val="1"/>
      <w:marLeft w:val="0"/>
      <w:marRight w:val="0"/>
      <w:marTop w:val="0"/>
      <w:marBottom w:val="0"/>
      <w:divBdr>
        <w:top w:val="none" w:sz="0" w:space="0" w:color="auto"/>
        <w:left w:val="none" w:sz="0" w:space="0" w:color="auto"/>
        <w:bottom w:val="none" w:sz="0" w:space="0" w:color="auto"/>
        <w:right w:val="none" w:sz="0" w:space="0" w:color="auto"/>
      </w:divBdr>
    </w:div>
    <w:div w:id="214692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3F2CB-66DE-4D35-987F-D4A4BF93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2100</Words>
  <Characters>11555</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CHU DE BLIDA</vt:lpstr>
    </vt:vector>
  </TitlesOfParts>
  <Company/>
  <LinksUpToDate>false</LinksUpToDate>
  <CharactersWithSpaces>13628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 DE BLIDA</dc:title>
  <dc:creator>chu frantz fanon</dc:creator>
  <cp:lastModifiedBy>USER</cp:lastModifiedBy>
  <cp:revision>2</cp:revision>
  <cp:lastPrinted>2004-04-18T13:19:00Z</cp:lastPrinted>
  <dcterms:created xsi:type="dcterms:W3CDTF">2019-12-22T10:01:00Z</dcterms:created>
  <dcterms:modified xsi:type="dcterms:W3CDTF">2019-12-22T10:01:00Z</dcterms:modified>
</cp:coreProperties>
</file>