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1A"/>
          <w:sz w:val="28"/>
          <w:szCs w:val="28"/>
        </w:rPr>
        <w:t xml:space="preserve">STORYTELLING AGENCY</w:t>
      </w:r>
    </w:p>
    <w:p>
      <w:pPr>
        <w:spacing w:after="80" w:before="0"/>
      </w:pPr>
      <w:r>
        <w:rPr>
          <w:rFonts w:ascii="Arial" w:cs="Arial" w:eastAsia="Arial" w:hAnsi="Arial"/>
          <w:b/>
          <w:bCs/>
          <w:color w:val="FF6B00"/>
          <w:sz w:val="20"/>
          <w:szCs w:val="20"/>
        </w:rPr>
        <w:t xml:space="preserve">RETAINERMODEL — EXPLAINER &amp; SOCIAL DEAL</w:t>
      </w:r>
    </w:p>
    <w:p>
      <w:pPr>
        <w:spacing w:after="400" w:before="0"/>
      </w:pPr>
      <w:r>
        <w:rPr>
          <w:rFonts w:ascii="Arial" w:cs="Arial" w:eastAsia="Arial" w:hAnsi="Arial"/>
          <w:i/>
          <w:iCs/>
          <w:color w:val="888888"/>
          <w:sz w:val="15"/>
          <w:szCs w:val="15"/>
        </w:rPr>
        <w:t xml:space="preserve">Vertrouwelijk · Intern document · 2025 · Minimum 1 kwartaal</w:t>
      </w:r>
    </w:p>
    <w:p>
      <w:pPr>
        <w:spacing w:after="200" w:before="0"/>
      </w:pPr>
      <w:r>
        <w:rPr>
          <w:rFonts w:ascii="Arial" w:cs="Arial" w:eastAsia="Arial" w:hAnsi="Arial"/>
          <w:b/>
          <w:bCs/>
          <w:color w:val="1A1A1A"/>
          <w:sz w:val="20"/>
          <w:szCs w:val="20"/>
        </w:rPr>
        <w:t xml:space="preserve">Prijsoverzicht — alle looptijden</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00"/>
        <w:gridCol w:w="1900"/>
        <w:gridCol w:w="1900"/>
        <w:gridCol w:w="826"/>
      </w:tblGrid>
      <w:tr>
        <w:trPr>
          <w:tblHeader/>
        </w:trPr>
        <w:tc>
          <w:tcPr>
            <w:tcW w:type="dxa" w:w="20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FORMULE</w:t>
            </w:r>
          </w:p>
        </w:tc>
        <w:tc>
          <w:tcPr>
            <w:tcW w:type="dxa" w:w="14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PER MAAND</w:t>
            </w:r>
          </w:p>
        </w:tc>
        <w:tc>
          <w:tcPr>
            <w:tcW w:type="dxa" w:w="15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PER KWARTAAL</w:t>
            </w:r>
          </w:p>
        </w:tc>
        <w:tc>
          <w:tcPr>
            <w:tcW w:type="dxa" w:w="1900"/>
            <w:tcBorders>
              <w:top w:val="single" w:color="FF6B00" w:sz="1"/>
              <w:left w:val="single" w:color="FF6B00" w:sz="1"/>
              <w:bottom w:val="single" w:color="FF6B00" w:sz="1"/>
              <w:right w:val="single" w:color="FF6B00" w:sz="1"/>
            </w:tcBorders>
            <w:shd w:fill="1A6B00"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HALF JAAR  −10%</w:t>
            </w:r>
          </w:p>
        </w:tc>
        <w:tc>
          <w:tcPr>
            <w:tcW w:type="dxa" w:w="1900"/>
            <w:tcBorders>
              <w:top w:val="single" w:color="FF6B00" w:sz="1"/>
              <w:left w:val="single" w:color="FF6B00" w:sz="1"/>
              <w:bottom w:val="single" w:color="FF6B00" w:sz="1"/>
              <w:right w:val="single" w:color="FF6B00" w:sz="1"/>
            </w:tcBorders>
            <w:shd w:fill="1A6B00"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VOLLEDIG JAAR  −20%</w:t>
            </w:r>
          </w:p>
        </w:tc>
        <w:tc>
          <w:tcPr>
            <w:tcW w:type="dxa" w:w="826"/>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MIN.</w:t>
            </w:r>
          </w:p>
        </w:tc>
      </w:tr>
      <w:tr>
        <w:tc>
          <w:tcPr>
            <w:tcW w:type="dxa" w:w="2000"/>
            <w:tcBorders>
              <w:top w:val="single" w:color="DDDDDD" w:sz="1"/>
              <w:left w:val="single" w:color="DDDDDD" w:sz="1"/>
              <w:bottom w:val="single" w:color="DDDDDD" w:sz="1"/>
              <w:right w:val="single" w:color="DDDDDD" w:sz="1"/>
            </w:tcBorders>
            <w:shd w:fill="FFF3E8" w:val="clear"/>
            <w:tcMar>
              <w:top w:type="dxa" w:w="100"/>
              <w:left w:type="dxa" w:w="140"/>
              <w:bottom w:type="dxa" w:w="100"/>
              <w:right w:type="dxa" w:w="140"/>
            </w:tcMar>
            <w:vAlign w:val="center"/>
          </w:tcPr>
          <w:p>
            <w:r>
              <w:rPr>
                <w:rFonts w:ascii="Arial" w:cs="Arial" w:eastAsia="Arial" w:hAnsi="Arial"/>
                <w:b/>
                <w:bCs/>
                <w:color w:val="1A1A1A"/>
                <w:sz w:val="20"/>
                <w:szCs w:val="20"/>
              </w:rPr>
              <w:t xml:space="preserve">Starter</w:t>
            </w:r>
          </w:p>
          <w:p>
            <w:r>
              <w:rPr>
                <w:rFonts w:ascii="Arial" w:cs="Arial" w:eastAsia="Arial" w:hAnsi="Arial"/>
                <w:color w:val="888888"/>
                <w:sz w:val="15"/>
                <w:szCs w:val="15"/>
              </w:rPr>
              <w:t xml:space="preserve">Consistente social aanwezigheid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€ 1.200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€ 3.600</w:t>
            </w:r>
          </w:p>
          <w:p>
            <w:pPr>
              <w:jc w:val="center"/>
            </w:pPr>
            <w:r>
              <w:rPr>
                <w:rFonts w:ascii="Arial" w:cs="Arial" w:eastAsia="Arial" w:hAnsi="Arial"/>
                <w:i/>
                <w:iCs/>
                <w:color w:val="888888"/>
                <w:sz w:val="14"/>
                <w:szCs w:val="14"/>
              </w:rPr>
              <w:t xml:space="preserve">€ 1200/mnd</w:t>
            </w:r>
          </w:p>
        </w:tc>
        <w:tc>
          <w:tcPr>
            <w:tcW w:type="dxa" w:w="190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€ 1.080/mnd</w:t>
            </w:r>
          </w:p>
          <w:p>
            <w:pPr>
              <w:jc w:val="center"/>
            </w:pPr>
            <w:r>
              <w:rPr>
                <w:rFonts w:ascii="Arial" w:cs="Arial" w:eastAsia="Arial" w:hAnsi="Arial"/>
                <w:color w:val="1A1A1A"/>
                <w:sz w:val="15"/>
                <w:szCs w:val="15"/>
              </w:rPr>
              <w:t xml:space="preserve">Totaal: € 6.480</w:t>
            </w:r>
          </w:p>
          <w:p>
            <w:pPr>
              <w:jc w:val="center"/>
            </w:pPr>
            <w:r>
              <w:rPr>
                <w:rFonts w:ascii="Arial" w:cs="Arial" w:eastAsia="Arial" w:hAnsi="Arial"/>
                <w:i/>
                <w:iCs/>
                <w:color w:val="2E7D32"/>
                <w:sz w:val="14"/>
                <w:szCs w:val="14"/>
              </w:rPr>
              <w:t xml:space="preserve">Besparing: € 720</w:t>
            </w:r>
          </w:p>
        </w:tc>
        <w:tc>
          <w:tcPr>
            <w:tcW w:type="dxa" w:w="1900"/>
            <w:tcBorders>
              <w:top w:val="single" w:color="DDDDDD" w:sz="1"/>
              <w:left w:val="single" w:color="DDDDDD" w:sz="1"/>
              <w:bottom w:val="single" w:color="DDDDDD" w:sz="1"/>
              <w:right w:val="single" w:color="DDDDDD" w:sz="1"/>
            </w:tcBorders>
            <w:shd w:fill="F1F8F2"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€ 960/mnd</w:t>
            </w:r>
          </w:p>
          <w:p>
            <w:pPr>
              <w:jc w:val="center"/>
            </w:pPr>
            <w:r>
              <w:rPr>
                <w:rFonts w:ascii="Arial" w:cs="Arial" w:eastAsia="Arial" w:hAnsi="Arial"/>
                <w:color w:val="1A1A1A"/>
                <w:sz w:val="15"/>
                <w:szCs w:val="15"/>
              </w:rPr>
              <w:t xml:space="preserve">Totaal: € 11.520</w:t>
            </w:r>
          </w:p>
          <w:p>
            <w:pPr>
              <w:jc w:val="center"/>
            </w:pPr>
            <w:r>
              <w:rPr>
                <w:rFonts w:ascii="Arial" w:cs="Arial" w:eastAsia="Arial" w:hAnsi="Arial"/>
                <w:i/>
                <w:iCs/>
                <w:color w:val="2E7D32"/>
                <w:sz w:val="14"/>
                <w:szCs w:val="14"/>
              </w:rPr>
              <w:t xml:space="preserve">Besparing: € 2.880</w:t>
            </w:r>
          </w:p>
        </w:tc>
        <w:tc>
          <w:tcPr>
            <w:tcW w:type="dxa" w:w="826"/>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888888"/>
                <w:sz w:val="16"/>
                <w:szCs w:val="16"/>
              </w:rPr>
              <w:t xml:space="preserve">1 kwartaal</w:t>
            </w:r>
          </w:p>
        </w:tc>
      </w:tr>
      <w:tr>
        <w:tc>
          <w:tcPr>
            <w:tcW w:type="dxa" w:w="2000"/>
            <w:tcBorders>
              <w:top w:val="single" w:color="DDDDDD" w:sz="1"/>
              <w:left w:val="single" w:color="DDDDDD" w:sz="1"/>
              <w:bottom w:val="single" w:color="DDDDDD" w:sz="1"/>
              <w:right w:val="single" w:color="DDDDDD" w:sz="1"/>
            </w:tcBorders>
            <w:shd w:fill="FFF3E8" w:val="clear"/>
            <w:tcMar>
              <w:top w:type="dxa" w:w="100"/>
              <w:left w:type="dxa" w:w="140"/>
              <w:bottom w:type="dxa" w:w="100"/>
              <w:right w:type="dxa" w:w="140"/>
            </w:tcMar>
            <w:vAlign w:val="center"/>
          </w:tcPr>
          <w:p>
            <w:r>
              <w:rPr>
                <w:rFonts w:ascii="Arial" w:cs="Arial" w:eastAsia="Arial" w:hAnsi="Arial"/>
                <w:b/>
                <w:bCs/>
                <w:color w:val="1A1A1A"/>
                <w:sz w:val="20"/>
                <w:szCs w:val="20"/>
              </w:rPr>
              <w:t xml:space="preserve">Groei ★</w:t>
            </w:r>
          </w:p>
          <w:p>
            <w:r>
              <w:rPr>
                <w:rFonts w:ascii="Arial" w:cs="Arial" w:eastAsia="Arial" w:hAnsi="Arial"/>
                <w:color w:val="888888"/>
                <w:sz w:val="15"/>
                <w:szCs w:val="15"/>
              </w:rPr>
              <w:t xml:space="preserve">Reels + podcast content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€ 2.000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€ 6.000</w:t>
            </w:r>
          </w:p>
          <w:p>
            <w:pPr>
              <w:jc w:val="center"/>
            </w:pPr>
            <w:r>
              <w:rPr>
                <w:rFonts w:ascii="Arial" w:cs="Arial" w:eastAsia="Arial" w:hAnsi="Arial"/>
                <w:i/>
                <w:iCs/>
                <w:color w:val="888888"/>
                <w:sz w:val="14"/>
                <w:szCs w:val="14"/>
              </w:rPr>
              <w:t xml:space="preserve">€ 2000/mnd</w:t>
            </w:r>
          </w:p>
        </w:tc>
        <w:tc>
          <w:tcPr>
            <w:tcW w:type="dxa" w:w="190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€ 1.800/mnd</w:t>
            </w:r>
          </w:p>
          <w:p>
            <w:pPr>
              <w:jc w:val="center"/>
            </w:pPr>
            <w:r>
              <w:rPr>
                <w:rFonts w:ascii="Arial" w:cs="Arial" w:eastAsia="Arial" w:hAnsi="Arial"/>
                <w:color w:val="1A1A1A"/>
                <w:sz w:val="15"/>
                <w:szCs w:val="15"/>
              </w:rPr>
              <w:t xml:space="preserve">Totaal: € 10.800</w:t>
            </w:r>
          </w:p>
          <w:p>
            <w:pPr>
              <w:jc w:val="center"/>
            </w:pPr>
            <w:r>
              <w:rPr>
                <w:rFonts w:ascii="Arial" w:cs="Arial" w:eastAsia="Arial" w:hAnsi="Arial"/>
                <w:i/>
                <w:iCs/>
                <w:color w:val="2E7D32"/>
                <w:sz w:val="14"/>
                <w:szCs w:val="14"/>
              </w:rPr>
              <w:t xml:space="preserve">Besparing: € 1.200</w:t>
            </w:r>
          </w:p>
        </w:tc>
        <w:tc>
          <w:tcPr>
            <w:tcW w:type="dxa" w:w="1900"/>
            <w:tcBorders>
              <w:top w:val="single" w:color="DDDDDD" w:sz="1"/>
              <w:left w:val="single" w:color="DDDDDD" w:sz="1"/>
              <w:bottom w:val="single" w:color="DDDDDD" w:sz="1"/>
              <w:right w:val="single" w:color="DDDDDD" w:sz="1"/>
            </w:tcBorders>
            <w:shd w:fill="F1F8F2"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€ 1.600/mnd</w:t>
            </w:r>
          </w:p>
          <w:p>
            <w:pPr>
              <w:jc w:val="center"/>
            </w:pPr>
            <w:r>
              <w:rPr>
                <w:rFonts w:ascii="Arial" w:cs="Arial" w:eastAsia="Arial" w:hAnsi="Arial"/>
                <w:color w:val="1A1A1A"/>
                <w:sz w:val="15"/>
                <w:szCs w:val="15"/>
              </w:rPr>
              <w:t xml:space="preserve">Totaal: € 19.200</w:t>
            </w:r>
          </w:p>
          <w:p>
            <w:pPr>
              <w:jc w:val="center"/>
            </w:pPr>
            <w:r>
              <w:rPr>
                <w:rFonts w:ascii="Arial" w:cs="Arial" w:eastAsia="Arial" w:hAnsi="Arial"/>
                <w:i/>
                <w:iCs/>
                <w:color w:val="2E7D32"/>
                <w:sz w:val="14"/>
                <w:szCs w:val="14"/>
              </w:rPr>
              <w:t xml:space="preserve">Besparing: € 4.800</w:t>
            </w:r>
          </w:p>
        </w:tc>
        <w:tc>
          <w:tcPr>
            <w:tcW w:type="dxa" w:w="826"/>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888888"/>
                <w:sz w:val="16"/>
                <w:szCs w:val="16"/>
              </w:rPr>
              <w:t xml:space="preserve">1 kwartaal</w:t>
            </w:r>
          </w:p>
        </w:tc>
      </w:tr>
      <w:tr>
        <w:tc>
          <w:tcPr>
            <w:tcW w:type="dxa" w:w="2000"/>
            <w:tcBorders>
              <w:top w:val="single" w:color="DDDDDD" w:sz="1"/>
              <w:left w:val="single" w:color="DDDDDD" w:sz="1"/>
              <w:bottom w:val="single" w:color="DDDDDD" w:sz="1"/>
              <w:right w:val="single" w:color="DDDDDD" w:sz="1"/>
            </w:tcBorders>
            <w:shd w:fill="FFF3E8" w:val="clear"/>
            <w:tcMar>
              <w:top w:type="dxa" w:w="100"/>
              <w:left w:type="dxa" w:w="140"/>
              <w:bottom w:type="dxa" w:w="100"/>
              <w:right w:type="dxa" w:w="140"/>
            </w:tcMar>
            <w:vAlign w:val="center"/>
          </w:tcPr>
          <w:p>
            <w:r>
              <w:rPr>
                <w:rFonts w:ascii="Arial" w:cs="Arial" w:eastAsia="Arial" w:hAnsi="Arial"/>
                <w:b/>
                <w:bCs/>
                <w:color w:val="1A1A1A"/>
                <w:sz w:val="20"/>
                <w:szCs w:val="20"/>
              </w:rPr>
              <w:t xml:space="preserve">Dominant</w:t>
            </w:r>
          </w:p>
          <w:p>
            <w:r>
              <w:rPr>
                <w:rFonts w:ascii="Arial" w:cs="Arial" w:eastAsia="Arial" w:hAnsi="Arial"/>
                <w:color w:val="888888"/>
                <w:sz w:val="15"/>
                <w:szCs w:val="15"/>
              </w:rPr>
              <w:t xml:space="preserve">Full partner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€ 3.000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FF6B00"/>
                <w:sz w:val="18"/>
                <w:szCs w:val="18"/>
              </w:rPr>
              <w:t xml:space="preserve">€ 9.000</w:t>
            </w:r>
          </w:p>
          <w:p>
            <w:pPr>
              <w:jc w:val="center"/>
            </w:pPr>
            <w:r>
              <w:rPr>
                <w:rFonts w:ascii="Arial" w:cs="Arial" w:eastAsia="Arial" w:hAnsi="Arial"/>
                <w:i/>
                <w:iCs/>
                <w:color w:val="888888"/>
                <w:sz w:val="14"/>
                <w:szCs w:val="14"/>
              </w:rPr>
              <w:t xml:space="preserve">€ 3000/mnd</w:t>
            </w:r>
          </w:p>
        </w:tc>
        <w:tc>
          <w:tcPr>
            <w:tcW w:type="dxa" w:w="1900"/>
            <w:tcBorders>
              <w:top w:val="single" w:color="DDDDDD" w:sz="1"/>
              <w:left w:val="single" w:color="DDDDDD" w:sz="1"/>
              <w:bottom w:val="single" w:color="DDDDDD" w:sz="1"/>
              <w:right w:val="single" w:color="DDDDDD" w:sz="1"/>
            </w:tcBorders>
            <w:shd w:fill="FAFFF8"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€ 2.700/mnd</w:t>
            </w:r>
          </w:p>
          <w:p>
            <w:pPr>
              <w:jc w:val="center"/>
            </w:pPr>
            <w:r>
              <w:rPr>
                <w:rFonts w:ascii="Arial" w:cs="Arial" w:eastAsia="Arial" w:hAnsi="Arial"/>
                <w:color w:val="1A1A1A"/>
                <w:sz w:val="15"/>
                <w:szCs w:val="15"/>
              </w:rPr>
              <w:t xml:space="preserve">Totaal: € 16.200</w:t>
            </w:r>
          </w:p>
          <w:p>
            <w:pPr>
              <w:jc w:val="center"/>
            </w:pPr>
            <w:r>
              <w:rPr>
                <w:rFonts w:ascii="Arial" w:cs="Arial" w:eastAsia="Arial" w:hAnsi="Arial"/>
                <w:i/>
                <w:iCs/>
                <w:color w:val="2E7D32"/>
                <w:sz w:val="14"/>
                <w:szCs w:val="14"/>
              </w:rPr>
              <w:t xml:space="preserve">Besparing: € 1.800</w:t>
            </w:r>
          </w:p>
        </w:tc>
        <w:tc>
          <w:tcPr>
            <w:tcW w:type="dxa" w:w="1900"/>
            <w:tcBorders>
              <w:top w:val="single" w:color="DDDDDD" w:sz="1"/>
              <w:left w:val="single" w:color="DDDDDD" w:sz="1"/>
              <w:bottom w:val="single" w:color="DDDDDD" w:sz="1"/>
              <w:right w:val="single" w:color="DDDDDD" w:sz="1"/>
            </w:tcBorders>
            <w:shd w:fill="F1F8F2" w:val="clear"/>
            <w:tcMar>
              <w:top w:type="dxa" w:w="80"/>
              <w:left w:type="dxa" w:w="140"/>
              <w:bottom w:type="dxa" w:w="80"/>
              <w:right w:type="dxa" w:w="140"/>
            </w:tcMar>
            <w:vAlign w:val="center"/>
          </w:tcPr>
          <w:p>
            <w:pPr>
              <w:jc w:val="center"/>
            </w:pPr>
            <w:r>
              <w:rPr>
                <w:rFonts w:ascii="Arial" w:cs="Arial" w:eastAsia="Arial" w:hAnsi="Arial"/>
                <w:b/>
                <w:bCs/>
                <w:color w:val="2E7D32"/>
                <w:sz w:val="20"/>
                <w:szCs w:val="20"/>
              </w:rPr>
              <w:t xml:space="preserve">€ 2.400/mnd</w:t>
            </w:r>
          </w:p>
          <w:p>
            <w:pPr>
              <w:jc w:val="center"/>
            </w:pPr>
            <w:r>
              <w:rPr>
                <w:rFonts w:ascii="Arial" w:cs="Arial" w:eastAsia="Arial" w:hAnsi="Arial"/>
                <w:color w:val="1A1A1A"/>
                <w:sz w:val="15"/>
                <w:szCs w:val="15"/>
              </w:rPr>
              <w:t xml:space="preserve">Totaal: € 28.800</w:t>
            </w:r>
          </w:p>
          <w:p>
            <w:pPr>
              <w:jc w:val="center"/>
            </w:pPr>
            <w:r>
              <w:rPr>
                <w:rFonts w:ascii="Arial" w:cs="Arial" w:eastAsia="Arial" w:hAnsi="Arial"/>
                <w:i/>
                <w:iCs/>
                <w:color w:val="2E7D32"/>
                <w:sz w:val="14"/>
                <w:szCs w:val="14"/>
              </w:rPr>
              <w:t xml:space="preserve">Besparing: € 7.200</w:t>
            </w:r>
          </w:p>
        </w:tc>
        <w:tc>
          <w:tcPr>
            <w:tcW w:type="dxa" w:w="826"/>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val="false"/>
                <w:bCs w:val="false"/>
                <w:color w:val="888888"/>
                <w:sz w:val="16"/>
                <w:szCs w:val="16"/>
              </w:rPr>
              <w:t xml:space="preserve">1 kwartaal</w:t>
            </w:r>
          </w:p>
        </w:tc>
      </w:tr>
    </w:tbl>
    <w:p>
      <w:pPr>
        <w:spacing w:after="200" w:before="400"/>
      </w:pPr>
      <w:r>
        <w:rPr>
          <w:rFonts w:ascii="Arial" w:cs="Arial" w:eastAsia="Arial" w:hAnsi="Arial"/>
          <w:b/>
          <w:bCs/>
          <w:color w:val="1A1A1A"/>
          <w:sz w:val="20"/>
          <w:szCs w:val="20"/>
        </w:rPr>
        <w:t xml:space="preserve">Inhoud per formule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626"/>
      </w:tblGrid>
      <w:tr>
        <w:trPr>
          <w:tblHeader/>
        </w:trPr>
        <w:tc>
          <w:tcPr>
            <w:tcW w:type="dxa" w:w="18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
            </w:r>
          </w:p>
        </w:tc>
        <w:tc>
          <w:tcPr>
            <w:tcW w:type="dxa" w:w="28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STARTER · €1.200/mnd</w:t>
            </w:r>
          </w:p>
        </w:tc>
        <w:tc>
          <w:tcPr>
            <w:tcW w:type="dxa" w:w="2800"/>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GROEI · €2.000/mnd</w:t>
            </w:r>
          </w:p>
        </w:tc>
        <w:tc>
          <w:tcPr>
            <w:tcW w:type="dxa" w:w="1626"/>
            <w:tcBorders>
              <w:top w:val="single" w:color="FF6B00" w:sz="1"/>
              <w:left w:val="single" w:color="FF6B00" w:sz="1"/>
              <w:bottom w:val="single" w:color="FF6B00" w:sz="1"/>
              <w:right w:val="single" w:color="FF6B00" w:sz="1"/>
            </w:tcBorders>
            <w:shd w:fill="1A1A1A" w:val="clear"/>
            <w:tcMar>
              <w:top w:type="dxa" w:w="100"/>
              <w:left w:type="dxa" w:w="140"/>
              <w:bottom w:type="dxa" w:w="100"/>
              <w:right w:type="dxa" w:w="140"/>
            </w:tcMar>
            <w:vAlign w:val="center"/>
          </w:tcPr>
          <w:p>
            <w:pPr>
              <w:jc w:val="center"/>
            </w:pPr>
            <w:r>
              <w:rPr>
                <w:rFonts w:ascii="Arial" w:cs="Arial" w:eastAsia="Arial" w:hAnsi="Arial"/>
                <w:b/>
                <w:bCs/>
                <w:color w:val="FFFFFF"/>
                <w:sz w:val="17"/>
                <w:szCs w:val="17"/>
              </w:rPr>
              <w:t xml:space="preserve">DOMINANT · €3.000/mnd</w:t>
            </w:r>
          </w:p>
        </w:tc>
      </w:tr>
      <w:tr>
        <w:tc>
          <w:tcPr>
            <w:tcW w:type="dxa" w:w="1800"/>
            <w:tcBorders>
              <w:top w:val="single" w:color="DDDDDD" w:sz="1"/>
              <w:left w:val="single" w:color="DDDDDD" w:sz="1"/>
              <w:bottom w:val="single" w:color="DDDDDD" w:sz="1"/>
              <w:right w:val="single" w:color="DDDDDD" w:sz="1"/>
            </w:tcBorders>
            <w:shd w:fill="F9F9F9" w:val="clear"/>
            <w:tcMar>
              <w:top w:type="dxa" w:w="80"/>
              <w:left w:type="dxa" w:w="140"/>
              <w:bottom w:type="dxa" w:w="80"/>
              <w:right w:type="dxa" w:w="140"/>
            </w:tcMar>
            <w:vAlign w:val="center"/>
          </w:tcPr>
          <w:p>
            <w:r>
              <w:rPr>
                <w:rFonts w:ascii="Arial" w:cs="Arial" w:eastAsia="Arial" w:hAnsi="Arial"/>
                <w:b/>
                <w:bCs/>
                <w:color w:val="888888"/>
                <w:sz w:val="16"/>
                <w:szCs w:val="16"/>
              </w:rPr>
              <w:t xml:space="preserve">Inhoud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1A1A1A"/>
                <w:sz w:val="16"/>
                <w:szCs w:val="16"/>
              </w:rPr>
              <w:t xml:space="preserve">8 reels/mnd (2 per week)</w:t>
            </w:r>
          </w:p>
          <w:p>
            <w:pPr>
              <w:pStyle w:val="ListParagraph"/>
              <w:numPr>
                <w:ilvl w:val="0"/>
                <w:numId w:val="2"/>
              </w:numPr>
              <w:spacing w:after="40" w:before="40"/>
            </w:pPr>
            <w:r>
              <w:rPr>
                <w:rFonts w:ascii="Arial" w:cs="Arial" w:eastAsia="Arial" w:hAnsi="Arial"/>
                <w:color w:val="1A1A1A"/>
                <w:sz w:val="16"/>
                <w:szCs w:val="16"/>
              </w:rPr>
              <w:t xml:space="preserve">Halve opnamedag/mnd — studio of locatie</w:t>
            </w:r>
          </w:p>
          <w:p>
            <w:pPr>
              <w:pStyle w:val="ListParagraph"/>
              <w:numPr>
                <w:ilvl w:val="0"/>
                <w:numId w:val="2"/>
              </w:numPr>
              <w:spacing w:after="40" w:before="40"/>
            </w:pPr>
            <w:r>
              <w:rPr>
                <w:rFonts w:ascii="Arial" w:cs="Arial" w:eastAsia="Arial" w:hAnsi="Arial"/>
                <w:color w:val="1A1A1A"/>
                <w:sz w:val="16"/>
                <w:szCs w:val="16"/>
              </w:rPr>
              <w:t xml:space="preserve">Maandelijkse online meeting (analyse + bijsturing)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1A1A1A"/>
                <w:sz w:val="16"/>
                <w:szCs w:val="16"/>
              </w:rPr>
              <w:t xml:space="preserve">24 reels/mnd (2 per week)</w:t>
            </w:r>
          </w:p>
          <w:p>
            <w:pPr>
              <w:pStyle w:val="ListParagraph"/>
              <w:numPr>
                <w:ilvl w:val="0"/>
                <w:numId w:val="2"/>
              </w:numPr>
              <w:spacing w:after="40" w:before="40"/>
            </w:pPr>
            <w:r>
              <w:rPr>
                <w:rFonts w:ascii="Arial" w:cs="Arial" w:eastAsia="Arial" w:hAnsi="Arial"/>
                <w:color w:val="1A1A1A"/>
                <w:sz w:val="16"/>
                <w:szCs w:val="16"/>
              </w:rPr>
              <w:t xml:space="preserve">2 podcast talks/mnd + 5 reels per podcast</w:t>
            </w:r>
          </w:p>
          <w:p>
            <w:pPr>
              <w:pStyle w:val="ListParagraph"/>
              <w:numPr>
                <w:ilvl w:val="0"/>
                <w:numId w:val="2"/>
              </w:numPr>
              <w:spacing w:after="40" w:before="40"/>
            </w:pPr>
            <w:r>
              <w:rPr>
                <w:rFonts w:ascii="Arial" w:cs="Arial" w:eastAsia="Arial" w:hAnsi="Arial"/>
                <w:color w:val="1A1A1A"/>
                <w:sz w:val="16"/>
                <w:szCs w:val="16"/>
              </w:rPr>
              <w:t xml:space="preserve">Volledige opnamedag/mnd — studio of locatie</w:t>
            </w:r>
          </w:p>
          <w:p>
            <w:pPr>
              <w:pStyle w:val="ListParagraph"/>
              <w:numPr>
                <w:ilvl w:val="0"/>
                <w:numId w:val="2"/>
              </w:numPr>
              <w:spacing w:after="40" w:before="40"/>
            </w:pPr>
            <w:r>
              <w:rPr>
                <w:rFonts w:ascii="Arial" w:cs="Arial" w:eastAsia="Arial" w:hAnsi="Arial"/>
                <w:color w:val="1A1A1A"/>
                <w:sz w:val="16"/>
                <w:szCs w:val="16"/>
              </w:rPr>
              <w:t xml:space="preserve">Maandelijkse online meeting (analyse + bijsturing)</w:t>
            </w:r>
          </w:p>
        </w:tc>
        <w:tc>
          <w:tcPr>
            <w:tcW w:type="dxa" w:w="16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1A1A1A"/>
                <w:sz w:val="16"/>
                <w:szCs w:val="16"/>
              </w:rPr>
              <w:t xml:space="preserve">24 reels/mnd (2 per week)</w:t>
            </w:r>
          </w:p>
          <w:p>
            <w:pPr>
              <w:pStyle w:val="ListParagraph"/>
              <w:numPr>
                <w:ilvl w:val="0"/>
                <w:numId w:val="2"/>
              </w:numPr>
              <w:spacing w:after="40" w:before="40"/>
            </w:pPr>
            <w:r>
              <w:rPr>
                <w:rFonts w:ascii="Arial" w:cs="Arial" w:eastAsia="Arial" w:hAnsi="Arial"/>
                <w:color w:val="1A1A1A"/>
                <w:sz w:val="16"/>
                <w:szCs w:val="16"/>
              </w:rPr>
              <w:t xml:space="preserve">2 podcast talks/mnd + 5 reels per podcast</w:t>
            </w:r>
          </w:p>
          <w:p>
            <w:pPr>
              <w:pStyle w:val="ListParagraph"/>
              <w:numPr>
                <w:ilvl w:val="0"/>
                <w:numId w:val="2"/>
              </w:numPr>
              <w:spacing w:after="40" w:before="40"/>
            </w:pPr>
            <w:r>
              <w:rPr>
                <w:rFonts w:ascii="Arial" w:cs="Arial" w:eastAsia="Arial" w:hAnsi="Arial"/>
                <w:color w:val="1A1A1A"/>
                <w:sz w:val="16"/>
                <w:szCs w:val="16"/>
              </w:rPr>
              <w:t xml:space="preserve">Volledige opnamedag/mnd — studio</w:t>
            </w:r>
          </w:p>
          <w:p>
            <w:pPr>
              <w:pStyle w:val="ListParagraph"/>
              <w:numPr>
                <w:ilvl w:val="0"/>
                <w:numId w:val="2"/>
              </w:numPr>
              <w:spacing w:after="40" w:before="40"/>
            </w:pPr>
            <w:r>
              <w:rPr>
                <w:rFonts w:ascii="Arial" w:cs="Arial" w:eastAsia="Arial" w:hAnsi="Arial"/>
                <w:color w:val="1A1A1A"/>
                <w:sz w:val="16"/>
                <w:szCs w:val="16"/>
              </w:rPr>
              <w:t xml:space="preserve">Locatiebezoek happening + 3 reels</w:t>
            </w:r>
          </w:p>
          <w:p>
            <w:pPr>
              <w:pStyle w:val="ListParagraph"/>
              <w:numPr>
                <w:ilvl w:val="0"/>
                <w:numId w:val="2"/>
              </w:numPr>
              <w:spacing w:after="40" w:before="40"/>
            </w:pPr>
            <w:r>
              <w:rPr>
                <w:rFonts w:ascii="Arial" w:cs="Arial" w:eastAsia="Arial" w:hAnsi="Arial"/>
                <w:color w:val="1A1A1A"/>
                <w:sz w:val="16"/>
                <w:szCs w:val="16"/>
              </w:rPr>
              <w:t xml:space="preserve">Maandelijkse online meeting (analyse + bijsturing)</w:t>
            </w:r>
          </w:p>
        </w:tc>
      </w:tr>
    </w:tbl>
    <w:p>
      <w:pPr>
        <w:spacing w:after="0" w:before="300"/>
      </w:pPr>
      <w:r>
        <w:rPr>
          <w:rFonts w:ascii="Arial" w:cs="Arial" w:eastAsia="Arial" w:hAnsi="Arial"/>
          <w:i/>
          <w:iCs/>
          <w:color w:val="888888"/>
          <w:sz w:val="14"/>
          <w:szCs w:val="14"/>
        </w:rPr>
        <w:t xml:space="preserve">* Kortingen gelden op de maandprijs bij voorafbetaling van de volledige looptijd. Retainerformules worden maandelijks gefactureerd of in één betaling voor de volledige periode (vereist voor korting). De inhoud van elke maand wordt in overleg bepaald.</w:t>
      </w:r>
    </w:p>
    <w:sectPr>
      <w:pgSz w:w="16838" w:h="11906"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2026-04-25T11:54:51.900Z</dcterms:created>
  <dcterms:modified xsi:type="dcterms:W3CDTF">2026-04-25T11:54:51.901Z</dcterms:modified>
</cp:coreProperties>
</file>

<file path=docProps/custom.xml><?xml version="1.0" encoding="utf-8"?>
<Properties xmlns="http://schemas.openxmlformats.org/officeDocument/2006/custom-properties" xmlns:vt="http://schemas.openxmlformats.org/officeDocument/2006/docPropsVTypes"/>
</file>