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800"/>
        <w:jc w:val="center"/>
      </w:pPr>
      <w:r>
        <w:rPr>
          <w:rFonts w:ascii="Calibri" w:cs="Calibri" w:eastAsia="Calibri" w:hAnsi="Calibri"/>
          <w:b/>
          <w:bCs/>
          <w:color w:val="1E40AF"/>
          <w:sz w:val="72"/>
          <w:szCs w:val="72"/>
        </w:rPr>
        <w:t xml:space="preserve">Ticarium365</w:t>
      </w:r>
    </w:p>
    <w:p>
      <w:pPr>
        <w:spacing w:after="800"/>
        <w:jc w:val="center"/>
      </w:pPr>
      <w:r>
        <w:rPr>
          <w:rFonts w:ascii="Calibri" w:cs="Calibri" w:eastAsia="Calibri" w:hAnsi="Calibri"/>
          <w:color w:val="64748B"/>
          <w:sz w:val="28"/>
          <w:szCs w:val="28"/>
        </w:rPr>
        <w:t xml:space="preserve">Türkiye'nin tek panelli KOBİ işletim sistemi</w:t>
      </w:r>
    </w:p>
    <w:p>
      <w:pPr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Ürün, Strateji, Mimari ve Finansal Projeksiyon Dökümanı</w:t>
      </w:r>
    </w:p>
    <w:p>
      <w:pPr>
        <w:spacing w:before="160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Sürüm: Taslak v1 · Tarih: 19.04.2026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Bu Dökümanın Statüsü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Bu döküman bir taslak iskelettir. Yatırımcıya, satın alma görüşmesine veya bankaya sunulmadan önce aşağıdakiler doldurulmalıdır: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Gerçek müşteri sayıları, MRR/ARR, churn (mevcut canlı müşteri verisi yok)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Birim ekonomisi (CAC, LTV) — ilk aktif müşterilerden ölçüldükçe girilecek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Gerçek altyapı faturası (Replit Reserved VM + DB + Object Storage gerçek tüketim)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Müşteri referansları, vaka çalışmaları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Sayısal projeksiyonlar bölümünde her varsayım sarı kutu ile işaretlenmiştir. Bu varsayımlar değiştirilince tüm tablolar yeniden hesaplanmalıdır.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1. Yönetici Özeti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Ticarium365, Türkiye'deki küçük ve orta ölçekli işletmelerin (KOBİ) günlük işletme operasyonlarını tek bir panelde birleştiren çoklu kiracı (multi-tenant) bir SaaS platformudur. Ön muhasebe, stok, satış, pazaryeri entegrasyonları, gerçek kârlılık hesabı ve B2B ticaret ağı tek bir kullanıcı deneyiminde sunulur.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Pazardaki temel boşluk: KOBİ sahibi bugün ön muhasebe (Paraşüt/Bizim Hesap), pazaryeri panelleri, fiziksel POS yazılımı, e-fatura entegratörü ve gider takibini ayrı ayrı kullanıyor. Bu modüller arasında veri kopuk, gerçek kâr (komisyon, kargo, iade dahil) hiçbir araçta net görünmüyor.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Stratejik Yıldız Modüller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Gerçek Karlılık Motoru — komisyon, kargo, iade, sermaye bağlama dahil ürün bazlı net kâr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e-Ticarium Merkezi — satış, reklam bütçesi, çok kanal yayını tek panelde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Akıllı Fiyatlandırma — kanal/maliyet bazlı, kâr koruyan otomatik öneriler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Firmalar Arası B2B Ağ — ürün/stok paylaşımı, teklif alma, ileride komisyonlu pazar (Ticarium Pazar)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Mevcut Durum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PROSAN ENDÜSTRİ ilk pilot müşteri olarak hazırlanıyor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NİHAT TURİZM ikinci pilot — turizm dikey segmenti için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5 katmanlı paketleme (Envanter, Ticaret, İşletme, Büyüme, Kurumsal)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[doldurulacak: </w:t>
      </w:r>
      <w:r>
        <w:rPr>
          <w:rFonts w:ascii="Calibri" w:cs="Calibri" w:eastAsia="Calibri" w:hAnsi="Calibri"/>
          <w:b/>
          <w:bCs/>
          <w:i/>
          <w:iCs/>
          <w:color w:val="B91C1C"/>
          <w:sz w:val="20"/>
          <w:szCs w:val="20"/>
        </w:rPr>
        <w:t xml:space="preserve">İlk 3 ay sonunda aktif müşteri sayısı, MRR, kullanım metrikleri</w:t>
      </w: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]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2. Problem Tanımı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Türkiye'de yaklaşık 3,4 milyon KOBİ bulunmaktadır. Bu işletmelerin büyük çoğunluğu dijital operasyonlarını parçalı bir araç yığınıyla yürütüyor: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Ön muhasebe → Paraşüt / Bizim Hesap / Logo / Mikro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Stok → Excel veya yerel POS yazılımı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Pazaryeri → Trendyol/Hepsiburada/N11 ayrı panelleri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E-fatura → Üçüncü parti entegratörler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CRM/cari hesap → kâğıt veya WhatsApp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Sonuç: KOBİ sahibi her ay 5+ ayrı yazılım için ödeme yapıyor, veriler entegre değil, gerçek kârlılık hiçbir ekranda doğru görünmüyor (komisyon, iade, kargo, sermaye bağlama maliyeti hesap dışı kalıyor).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Acı Noktası 1 — Görünmez Maliyetler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Pazaryerinde 100 TL'ye satılan bir ürün gerçekte ne kadar kâr getiriyor? Komisyon, KDV, kargo, iade riski, sermaye bağlama günleri hesaba katılınca rakam çoğu zaman negatif çıkıyor. Mevcut araçlar bunu hesaplamıyor.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Acı Noktası 2 — Tekrarlanan Veri Girişi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Aynı ürün, müşteri, fatura bilgisi 3-4 farklı sisteme tekrar tekrar giriliyor. Hem zaman kaybı hem hata kaynağı.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Acı Noktası 3 — Yatay Ölçek Yok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Mevcut çözümler tek tenant; KOBİ büyüdükçe (şube, kanal, personel) yazılım çöker veya pahalı kurumsal ERP'ye geçiş zorunluluğu doğar. Arada bir köprü yok.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3. Ticarium365 Çözümü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Ticarium365, KOBİ'nin tüm operasyonel ihtiyacını tek bir multi-tenant SaaS panelinde birleştirir: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Tek veri modeli: ürün, müşteri, fatura, stok, gider — tek kayıt, her ekrandan görünür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Gerçek karlılık motoru: ürün bazında komisyon/kargo/iade dahil net kâr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Pazaryeri sync: tek ürün → tüm kanallarda yayında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E-Ticarium Merkezi: kendi vitriniz + ortak Ticarium Pazar tek arayüz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Multi-tenant + alt-domain izolasyonu: her firma kendi panelinde, paylaşımlı altyapı maliyeti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Türkçe ilk gün — KOBİ sahibinin kendi diliyle, basit terimlerle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4. Mevcut Tamamlanan Modüller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Aşağıdaki modüller kod tabanında çalışır durumda; pilot müşteri tarafından kullanım doğrulaması beklenmektedir.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Modül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Durum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Ürün/Stok Yönetimi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Çoklu birim, varyant, barkod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Hızlı Satış (POS)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Klavye + barkod tarayıcı uyumlu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Satış &amp; Fatura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E-arşiv hazır; e-fatura entegratör hazır bekleniyor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Müşteri / Cari Hesap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Borç/alacak ekstre, ödeme takibi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Tedarikçi &amp; Alış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Alış faturası, ödeme planı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Gider Merkezi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Kategori bazlı, otomatik dağıtım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Banka Yönetimi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Hesap, transfer, mutabakat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Personel Kayıtları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Bordro pkg_growth+ paketinde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Demirbaş &amp; Amortisman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Doğrusal amortisman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Belge Merkezi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Object storage entegre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Net Kâr Paneli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Yıldız modül — gerçek karlılık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Pazaryeri (Trendyol/Hepsi/N11)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 entegrasyonları sırada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Kampanya &amp; Kupon Motoru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Yüzde, sabit, kategori bazlı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Sadakat &amp; Puan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Üye kart sistemi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Çoklu Para Birimi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TCMB kurları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Üretim &amp; Reçete (BOM)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Kurumsal pakette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Çok Kiracılı Mimari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Subdomain izolasyonu, PROSAN + NİHAT TURİZM ayrı tenant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 Bazlı Yetkilendirme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Owner / Admin / Staff / Viewer / Super Admin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Komut Paleti (⌘K)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Rol-filtreli global hızlı geçiş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E-Ticarium Merkezi (UI)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Ödeme/satış kanalı yönetimi UI hazır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5. Devam Eden / Yapılacak Modüller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Modül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Durum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Engel / İhtiyaç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Sentry Hata İzleme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%80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DSN secret eklenecek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E-mail Servisi (SMTP)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Bekliyor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Gmail SMTP veya SendGrid hesabı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SMS Servisi (NetGSM)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Bekliyor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Ücretli — pilot sonrası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Pazaryeri API Bağlantıları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 altyapı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Trendyol/Hepsi API key/seller hesabı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E-Fatura Entegratörü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Hazır altyapı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Entegratör seçimi + sözleşme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Mali Müşavir Paneli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Yapılacak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Kurumsal pakette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Akıllı Fiyat Önerisi (AI)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OpenAI tüketim modeli netleşmeli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Rakip Fiyat İzleme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scraping altyapısı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 App (Expo)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İskelet hazır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SMSYSTEMS mobil — özellik açılımı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Webhook Çıkışı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Yapılacak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Kurumsal pakette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White Label / Mali Müşavir markası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Yapılacak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4-5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6. Faz Faz Roadmap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Faz 1 — Çekirdek İşletme Sistemi (Tamamlandı)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Stok, satış, cari, fatura, gider, banka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Multi-tenant + rol bazlı yetki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E-arşiv hazırlığı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PROSAN + NİHAT TURİZM tenant kurulumu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Faz 2 — Ticaret Büyütme (Devam ediyor)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Pazaryeri sync canlı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E-Ticarium Merkezi reklam bütçesi yönetimi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Kampanya &amp; sadakat aktif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Akıllı fiyatlandırma motoru ilk versiyon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Faz 3 — Entegrasyonlar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E-fatura entegratör (Logo, GİB)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Logo / Mikro / Paraşüt veri içe aktarım sihirbazı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Banka Open API bağlantıları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Kargo entegrasyonları (Yurtiçi, Aras, MNG, PTT)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Webhook çıkış altyapısı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Faz 4 — B2B Ağ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Firmalar arası teklif alma / verme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Stok / ürün paylaşımı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Ticarium Pazar — sektörel pazaryeri (komisyon modeli)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Ortaklar arası kapalı devre fiyat anlaşmaları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Faz 5 — AI / Veri Zekâsı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Fiş/fatura OCR (mevcut altyapı genişler)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Akıllı fiyat önerisi — kâr koruyan otomatik fiyat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Talep tahmini, stok devir hızı önerisi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Müşteri churn risk skoru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Faz 6 — Uluslararasılaşma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Çoklu dil (EN, DE, AR)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Çoklu para birimi tam entegre (mevcut altyapı genişler)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KKTC, Azerbaycan, Türk diasporası ilk hedef pazarlar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White label — yerel ortaklarla bayilik modeli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7. Teknik Mimari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Stack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Frontend: React + Vite (web), Expo React Native (mobil)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Backend: Node.js + Express, TypeScript, OpenAPI sözleşme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Veritabanı: PostgreSQL (Drizzle ORM)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Object Storage: Replit App Storage (medya, döküman)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Hata İzleme: Sentry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Tek paket yöneticisi: pnpm monorepo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Hosting: Replit Reserved VM Deployment (üretimde)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Multi-Tenant Tasarımı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Her firma için companyId — tüm sorgular bu kolon ile filtrelenir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Subdomain izolasyonu (prosan.ticarium365.com gibi)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Özellik bayrağı (feature flag) — paket bazında modül erişimi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Plan limitleri (kullanıcı, ürün, depolama) tek noktadan kontrol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Rol Bazlı Yetki (RBAC)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Owner — firma sahibi, tüm yetkiler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Admin — operasyon yöneticisi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Staff — günlük işlem (POS, satış, stok)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Viewer — sadece raporlama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Super Admin — Ticarium365 ekibi, çapraz tenant destek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Ölçeklenebilirlik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Stateless API — yatay ölçeklenebilir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PostgreSQL — read replica eklenebilir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Object storage CDN ile servis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Ağır işler için kuyruk (queue) — Faz 3'te eklenecek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Güvenlik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Şifre hash'leme (bcrypt)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Session bazlı kimlik doğrulama, SESSION_SECRET ile imzalı cookie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HTTPS zorunlu (Replit deployment)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Rol bazlı API guard middleware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KVKK uyumu — veri sahipliği müşteride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Sentry ile gerçek zamanlı hata izleme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8. Gelir Modelleri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Açıklama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Faz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Aylık abonelik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paket: Envanter, Ticaret, İşletme, Büyüme, Kurumsal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1+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Yıllık abonelik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%17 indirim (2 ay bedava) — nakit akışı önden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1+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Modül satışı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Ek paket dışı modüller (örn. üretim, mali müşavir paneli)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2+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İşlem komisyonu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Ticarium Pazar üzerinden satışlarda %1-3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4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Reklam yönetimi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E-Ticarium Merkezi reklam ajansı hizmeti — managed budget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2+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White label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Mali müşavir/ajans markasıyla satış — sabit lisans + revenue share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4-5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Enterprise lisans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Kurumsal müşteriler için özel SLA + dedicated infra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3+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ek paketler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Akıllı fiyat, churn skoru, talep tahmini — kullanım bazlı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5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9. Operasyonel Maliyet Analizi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Aşağıdaki maliyet kalemleri, henüz canlı müşteri verisi olmadığından mantıksal varsayımlara dayanır. Her varsayım sarı kutu ile belirtilmiştir; gerçek faturalar geldikçe revize edilmelidir.</w:t>
      </w:r>
    </w:p>
    <w:p>
      <w:pPr>
        <w:shd w:fill="FEF3C7" w:color="auto" w:val="clear"/>
        <w:spacing w:after="160" w:before="80"/>
      </w:pPr>
      <w:r>
        <w:rPr>
          <w:rFonts w:ascii="Calibri" w:cs="Calibri" w:eastAsia="Calibri" w:hAnsi="Calibri"/>
          <w:i/>
          <w:iCs/>
          <w:color w:val="78350F"/>
          <w:sz w:val="20"/>
          <w:szCs w:val="20"/>
        </w:rPr>
        <w:t xml:space="preserve">⚠ Varsayım: USD/TL kuru: 40 (rapor tarihi)</w:t>
      </w:r>
    </w:p>
    <w:p>
      <w:pPr>
        <w:shd w:fill="FEF3C7" w:color="auto" w:val="clear"/>
        <w:spacing w:after="160" w:before="80"/>
      </w:pPr>
      <w:r>
        <w:rPr>
          <w:rFonts w:ascii="Calibri" w:cs="Calibri" w:eastAsia="Calibri" w:hAnsi="Calibri"/>
          <w:i/>
          <w:iCs/>
          <w:color w:val="78350F"/>
          <w:sz w:val="20"/>
          <w:szCs w:val="20"/>
        </w:rPr>
        <w:t xml:space="preserve">⚠ Varsayım: Ödeme alma komisyonu: işlem hacminin %3'ü (kart işleme + işlemci payı)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Sabit Altyapı Kalemleri (Tüm Senaryolarda)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Kalem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Hosting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Replit Reserved VM Deployment — kullanım bazlı, ölçeğe göre büyür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Replit managed Postgres — bağlantı + depolama bazlı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Object Storage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Belge, fiş, ürün görseli — GB bazlı + bandwidth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Sentry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Free tier (5K event/ay) → büyüdükçe Team plan ($26/ay+)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E-mail (SMTP)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Düşük hacim: Gmail (ücretsiz). Yüksek: SendGrid/Postmark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SMS (NetGSM)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Mesaj başına ücret — sadece kritik bildirim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(OpenAI)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bazlı — sadece OCR / fiyat önerisi modüllerinde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Domain + SSL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Yıllık sabit, ihmal edilebilir</w:t>
            </w:r>
          </w:p>
        </w:tc>
      </w:tr>
    </w:tbl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Müşteri Başına Aylık Maliyet (Tahmini)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Plan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Ortalama yoğunluk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Tahmini birim maliyet/ay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Envanter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Düşük (sadece stok)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$0.50 – $1.00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Ticaret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Orta (POS + fatura)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$1.00 – $2.00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İşletme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Orta-yüksek (banka, OCR)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$1.80 – $3.00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Büyüme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Yüksek (pazaryeri sync)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$3.00 – $5.00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Kurumsal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Yoğun (üretim + API)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$5.00 – $10.00+</w:t>
            </w:r>
          </w:p>
        </w:tc>
      </w:tr>
    </w:tbl>
    <w:p>
      <w:pPr>
        <w:shd w:fill="FEF3C7" w:color="auto" w:val="clear"/>
        <w:spacing w:after="160" w:before="80"/>
      </w:pPr>
      <w:r>
        <w:rPr>
          <w:rFonts w:ascii="Calibri" w:cs="Calibri" w:eastAsia="Calibri" w:hAnsi="Calibri"/>
          <w:i/>
          <w:iCs/>
          <w:color w:val="78350F"/>
          <w:sz w:val="20"/>
          <w:szCs w:val="20"/>
        </w:rPr>
        <w:t xml:space="preserve">⚠ Varsayım: Birim maliyetler ölçek arttıkça düşer (sabit Sentry/monitoring giderleri amortize olur). Yoğun pazaryeri sync ve OCR kullanan müşteriler aralığın üst bandında konumlanır.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Yüksek Maliyet Doğurabilecek Kısımlar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Risk Alanı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Risk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Önerilen Çözüm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Pazaryeri canlı senkronizasyon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rate-limit + sürekli polling maliyeti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Webhook + queue (BullMQ/SQS)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Rapor / export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Büyük tablolar UI'da çekiliyor, RAM patlar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Async job + indir/email link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Fiş OCR (AI)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tüketimi yüksek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Resim ön-işleme + cache + plan limiti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Gerçek zamanlı 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Her client her saniye sorgu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Polling yerine WebSocket / 30sn cache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Medya depolama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Belge/fotoğraf birikimi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Cold storage + 90 gün sonra arşiv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Multi-tenant büyük tablolar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companyId index'siz sorgu = full scan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Composite index zorunluluğu (CI'da kontrol)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modülleri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başı maliyet öngörülemez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Plan-bazlı kotalama + kota aşımı uyarı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10. Sayısal Projeksiyon — 50 / 500 / 1000 Müşteri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Aşağıdaki hesap sitedeki güncel paket fiyatlarına ve aşağıdaki dağılım varsayımına dayanır: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Paket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Aylık Fiyat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Müşteri Dağılımı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Envanter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₺999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Ticaret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₺1.999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%50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İşletme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₺3.499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%20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Büyüme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₺5.999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%10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Kurumsal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₺9.999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%5</w:t>
            </w:r>
          </w:p>
        </w:tc>
      </w:tr>
    </w:tbl>
    <w:p>
      <w:pPr>
        <w:shd w:fill="FEF3C7" w:color="auto" w:val="clear"/>
        <w:spacing w:after="160" w:before="80"/>
      </w:pPr>
      <w:r>
        <w:rPr>
          <w:rFonts w:ascii="Calibri" w:cs="Calibri" w:eastAsia="Calibri" w:hAnsi="Calibri"/>
          <w:i/>
          <w:iCs/>
          <w:color w:val="78350F"/>
          <w:sz w:val="20"/>
          <w:szCs w:val="20"/>
        </w:rPr>
        <w:t xml:space="preserve">⚠ Varsayım: Müşteri dağılımı: çoğunluk en yaygın "Ticaret" paketinde. Pilot sonrası gerçek dağılım ölçülünce revize.</w:t>
      </w:r>
    </w:p>
    <w:p>
      <w:pPr>
        <w:shd w:fill="FEF3C7" w:color="auto" w:val="clear"/>
        <w:spacing w:after="160" w:before="80"/>
      </w:pPr>
      <w:r>
        <w:rPr>
          <w:rFonts w:ascii="Calibri" w:cs="Calibri" w:eastAsia="Calibri" w:hAnsi="Calibri"/>
          <w:i/>
          <w:iCs/>
          <w:color w:val="78350F"/>
          <w:sz w:val="20"/>
          <w:szCs w:val="20"/>
        </w:rPr>
        <w:t xml:space="preserve">⚠ Varsayım: Ödeme döngüsü: %20 müşteri yıllık (10/12 katsayı), %80 aylık.</w:t>
      </w:r>
    </w:p>
    <w:p>
      <w:pPr>
        <w:shd w:fill="FEF3C7" w:color="auto" w:val="clear"/>
        <w:spacing w:after="160" w:before="80"/>
      </w:pPr>
      <w:r>
        <w:rPr>
          <w:rFonts w:ascii="Calibri" w:cs="Calibri" w:eastAsia="Calibri" w:hAnsi="Calibri"/>
          <w:i/>
          <w:iCs/>
          <w:color w:val="78350F"/>
          <w:sz w:val="20"/>
          <w:szCs w:val="20"/>
        </w:rPr>
        <w:t xml:space="preserve">⚠ Varsayım: Ortalama kullanıcı geliri (ARPU): ₺2.851/ay.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Senaryo Karşılaştırma Tablosu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Kalem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50 Müşteri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500 Müşteri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1000 Müşteri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Müşteri sayısı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Aylık MRR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₺142.535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₺1.425.350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₺2.850.700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Yıllık ARR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₺1.710.420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₺17.104.200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₺34.208.400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Altyapı (hosting+DB+storage)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₺4.000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₺24.000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₺32.000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İletişim (SMS+email)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₺1.000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₺10.000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₺20.000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İzleme (Sentry+monitoring)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₺2.000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₺8.000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₺16.000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Destek personeli (FTE)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Destek maliyeti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₺25.000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₺100.000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₺200.000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Pazarlama / CAC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₺15.000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₺80.000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₺150.000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Ödeme komisyonu (%3)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₺4.276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₺42.761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₺85.521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Toplam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₺51.276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₺264.761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₺503.521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Brüt Kâr (R&amp;D öncesi)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₺91.259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₺1.160.590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₺2.347.179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Brüt Marj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%64.0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%81.4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%82.3</w:t>
            </w:r>
          </w:p>
        </w:tc>
      </w:tr>
    </w:tbl>
    <w:p>
      <w:pPr>
        <w:shd w:fill="FEF3C7" w:color="auto" w:val="clear"/>
        <w:spacing w:after="160" w:before="80"/>
      </w:pPr>
      <w:r>
        <w:rPr>
          <w:rFonts w:ascii="Calibri" w:cs="Calibri" w:eastAsia="Calibri" w:hAnsi="Calibri"/>
          <w:i/>
          <w:iCs/>
          <w:color w:val="78350F"/>
          <w:sz w:val="20"/>
          <w:szCs w:val="20"/>
        </w:rPr>
        <w:t xml:space="preserve">⚠ Varsayım: R&amp;D / yazılım ekibi maliyeti müşteri sayısından bağımsız sabittir; yukarıdaki brüt kâra dahil değildir. Ekip maliyeti ayrı satırda hesaplanmalıdır.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[doldurulacak: </w:t>
      </w:r>
      <w:r>
        <w:rPr>
          <w:rFonts w:ascii="Calibri" w:cs="Calibri" w:eastAsia="Calibri" w:hAnsi="Calibri"/>
          <w:b/>
          <w:bCs/>
          <w:i/>
          <w:iCs/>
          <w:color w:val="B91C1C"/>
          <w:sz w:val="20"/>
          <w:szCs w:val="20"/>
        </w:rPr>
        <w:t xml:space="preserve">R&amp;D ekibi aylık toplam maliyeti (ör. 4 dev + 1 PM + 1 designer)</w:t>
      </w: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]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Senaryo Yorumları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50 Müşteri — Pilot / Erken Aşama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Aylık MRR ₺142.535, yıllık ARR ₺1.710.420. Brüt marj sınırlı çünkü destek/pazarlama sabit giderleri henüz amortize olmadı. Bu aşamada hedef: ürün-pazar uyumunu doğrulamak, churn'ü ölçmek, NPS toplamak.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500 Müşteri — Sürdürülebilir Operasyon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Aylık MRR ₺1.425.350, yıllık ARR ₺17.104.200. Brüt marj %81 seviyesinde — sağlıklı SaaS bandı. Bu aşamada R&amp;D ekibi tamamen iç finansmanla karşılanabilir hale gelir.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1000 Müşteri — Pazar Liderliği Hazırlık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Aylık MRR ₺2.850.700, yıllık ARR ₺34.208.400. Brüt marj %82. Bu seviyede Ticarium Pazar (B2B komisyon modeli) ek gelir kanalı olarak devreye alınmalıdır — projeksiyona dahil edilmedi.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[doldurulacak: </w:t>
      </w:r>
      <w:r>
        <w:rPr>
          <w:rFonts w:ascii="Calibri" w:cs="Calibri" w:eastAsia="Calibri" w:hAnsi="Calibri"/>
          <w:b/>
          <w:bCs/>
          <w:i/>
          <w:iCs/>
          <w:color w:val="B91C1C"/>
          <w:sz w:val="20"/>
          <w:szCs w:val="20"/>
        </w:rPr>
        <w:t xml:space="preserve">Üç senaryo için müşteri kazanım takvimi (örn. ay 6 → 50, ay 18 → 500, ay 30 → 1000)</w:t>
      </w: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]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11. SWOT Analizi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Güçlü Yönler (Strengths)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Türkçe-ilk tasarım — KOBİ sahibinin diliyle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Tek panelde 5+ ürünün işini birleştiren entegrasyon avantajı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Gerçek karlılık motoru — pazardaki rakiplerde yok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Multi-tenant + ölçeklenebilir mimari günden 1 hazır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Modern teknoloji stack'i — geliştirme hızı yüksek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Zayıf Yönler (Weaknesses)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Henüz canlı müşteri yok — kullanım verisi sıfır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Marka tanınırlığı yok — pazarlama yatırımı gerekli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E-fatura entegratör seçimi tamamlanmadı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Pazaryeri API sözleşmeleri henüz yok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Tek geliştirici / küçük ekip — bus factor riski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Fırsatlar (Opportunities)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Türkiye'de 3,4M+ KOBİ — devasa pazar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Mevcut çözümlerin parçalı yapısı — birleştirici fırsatı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Pazaryeri ekosistemi büyüyor — entegrasyon talebi artıyor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KKTC, Azerbaycan, Türk diasporası uluslararasılaşma fırsatı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Mali müşavir / muhasebeci kanalı — B2B2C dağıtım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AI ile gerçek karlılık önerisi farklılaşma alanı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Tehditler (Threats)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Logo, Mikro gibi köklü oyuncuların alt segmente inmesi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Paraşüt'ün modül genişletmesi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Pazaryerlerinin kendi seller paneli geliştirmesi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Regülasyon değişiklikleri (e-fatura, GİB)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Ekonomik daralma → KOBİ harcama kısıtı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12. Yatırımcı Bakışı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Yatırımcı Neyi Sever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Büyük TAM (Türkiye 3,4M KOBİ × ortalama ARPU = 100+ milyar TL pazar)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SaaS metrikleri — recurring revenue, yüksek brüt marj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Multi-tenant teknik mimari — ölçek ekonomisi günden 1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Birden fazla gelir kolu (abonelik + komisyon + AI)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Türkiye-spesifik regülasyon (e-fatura, KVKK) yerel rakip avantajı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Yatırımcı Nerede Risk Görür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Sıfır müşteri trakcsiyonu — pazar uyumu kanıtlanmadı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Tek kurucu / küçük ekip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KOBİ pazarı yüksek churn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CAC belirsiz — pazarlama deneyi yok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Mevcut güçlü oyuncuların reaksiyon riski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Risk Azaltma Stratejisi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Pilot 3-5 müşteriden gerçek metrik (LTV, churn, NPS) çıkarmak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Mali müşavir / sektör derneği iş birlikleri ile düşük CAC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Annual prepay teşvik — cash conversion + churn azaltma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Kurumsal pakette yıllık sözleşme + SLA → öngörülebilir gelir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[doldurulacak: </w:t>
      </w:r>
      <w:r>
        <w:rPr>
          <w:rFonts w:ascii="Calibri" w:cs="Calibri" w:eastAsia="Calibri" w:hAnsi="Calibri"/>
          <w:b/>
          <w:bCs/>
          <w:i/>
          <w:iCs/>
          <w:color w:val="B91C1C"/>
          <w:sz w:val="20"/>
          <w:szCs w:val="20"/>
        </w:rPr>
        <w:t xml:space="preserve">Hedeflenen yatırım turu büyüklüğü ve kullanım planı</w:t>
      </w: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]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[doldurulacak: </w:t>
      </w:r>
      <w:r>
        <w:rPr>
          <w:rFonts w:ascii="Calibri" w:cs="Calibri" w:eastAsia="Calibri" w:hAnsi="Calibri"/>
          <w:b/>
          <w:bCs/>
          <w:i/>
          <w:iCs/>
          <w:color w:val="B91C1C"/>
          <w:sz w:val="20"/>
          <w:szCs w:val="20"/>
        </w:rPr>
        <w:t xml:space="preserve">Mevcut ekip CV / arka plan</w:t>
      </w: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]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13. Uzun Dönem Projeksiyon (1 / 3 / 5 Yıl)</w:t>
      </w:r>
    </w:p>
    <w:p>
      <w:pPr>
        <w:spacing w:after="120" w:line="30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Aşağıdaki tablo iskeleti boş bırakılmıştır. Gerçek pazarlama kanalları, CAC, churn ve takım büyüme planı netleştikçe doldurulacaktır.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Senaryo: Muhafazakâr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Metrik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Yıl 1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Yıl 3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Yıl 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Aktif müşteri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MRR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Brüt marj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Ekip büyüklüğü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Altyapı maliyeti / 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EBITDA yaklaşımı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</w:tbl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Senaryo: Gerçekçi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Metrik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Yıl 1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Yıl 3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Yıl 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Aktif müşteri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MRR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Brüt marj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Ekip büyüklüğü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Altyapı maliyeti / 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EBITDA yaklaşımı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</w:tbl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Senaryo: Agresif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Metrik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Yıl 1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Yıl 3</w:t>
            </w:r>
          </w:p>
        </w:tc>
        <w:tc>
          <w:tcPr>
            <w:shd w:fill="F1F5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Yıl 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Aktif müşteri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MRR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Brüt marj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Ekip büyüklüğü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Altyapı maliyeti / 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EBITDA yaklaşımı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[?]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[doldurulacak: </w:t>
      </w:r>
      <w:r>
        <w:rPr>
          <w:rFonts w:ascii="Calibri" w:cs="Calibri" w:eastAsia="Calibri" w:hAnsi="Calibri"/>
          <w:b/>
          <w:bCs/>
          <w:i/>
          <w:iCs/>
          <w:color w:val="B91C1C"/>
          <w:sz w:val="20"/>
          <w:szCs w:val="20"/>
        </w:rPr>
        <w:t xml:space="preserve">Pilot 3 ay sonunda gerçek CAC ve churn ile bu tablolar doldurulacak</w:t>
      </w:r>
      <w:r>
        <w:rPr>
          <w:rFonts w:ascii="Calibri" w:cs="Calibri" w:eastAsia="Calibri" w:hAnsi="Calibri"/>
          <w:i/>
          <w:iCs/>
          <w:color w:val="B91C1C"/>
          <w:sz w:val="20"/>
          <w:szCs w:val="20"/>
        </w:rPr>
        <w:t xml:space="preserve">]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14. Görsel &amp; Grafik Önerileri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Pazar boyutu funnel'i — 3.4M KOBİ → adreslenebilir → hedef segmenti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Modül haritası — radar grafiği (Karlılık, e-Ticarium, Fiyat, B2B)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Müşteri başı maliyet grafiği — ölçek arttıkça düşen birim maliyet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 senaryo MRR projeksiyonu — kümülatif çizgi grafik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Rakip karşılaştırma matrisi — Paraşüt, Logo, Mikro, Bizim Hesap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Mimari diyagramı — multi-tenant + tenant izolasyonu görsel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Ticarium365 — Master Pitch Doküman (Taslak)</dc:title>
  <dc:creator>Ticarium365</dc:creator>
  <dc:description>Yatırımcı / strateji / ürün master dökümanı — taslak v1</dc:description>
  <cp:lastModifiedBy>Un-named</cp:lastModifiedBy>
  <cp:revision>1</cp:revision>
  <dcterms:created xsi:type="dcterms:W3CDTF">2026-04-19T03:30:54.351Z</dcterms:created>
  <dcterms:modified xsi:type="dcterms:W3CDTF">2026-04-19T03:30:54.351Z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