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Ticarium365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Yatırımcı Özeti — Executive Summary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Tek Cümlede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Türkiye'deki 3,4 milyon KOBİ için ön muhasebe, stok, satış, pazaryeri ve gerçek karlılık hesabını tek panelde birleştiren multi-tenant SaaS işletim sistemi.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Problem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KOBİ sahibi bugün 5+ ayrı yazılım kullanıyor (Paraşüt, pazaryeri panelleri, POS, e-fatura, Excel). Veriler entegre değil, gerçek kâr — komisyon/iade/kargo/sermaye dahil — hiçbir araçta görünmüyor.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Çözüm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Tek veri modeli, tek panel, tek aboneliğe entegre edilmiş 25+ modül. Yıldız modüller: Gerçek Karlılık Motoru, e-Ticarium Merkezi, Akıllı Fiyatlandırma, Firmalar Arası B2B Ağ.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Pazar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Türkiye'de 3.4M+ KOBİ. Adreslenebilir hedef segmenti (e-ticaret yapan + en az 1 dijital araç kullanan): yaklaşık 400-500 bin işletme. Yıllık ortalama harcama 30-50K TL bandında.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[doldurulacak: </w:t>
      </w:r>
      <w:r>
        <w:rPr>
          <w:rFonts w:ascii="Calibri" w:cs="Calibri" w:eastAsia="Calibri" w:hAnsi="Calibri"/>
          <w:b/>
          <w:bCs/>
          <w:i/>
          <w:iCs/>
          <w:color w:val="B91C1C"/>
          <w:sz w:val="20"/>
          <w:szCs w:val="20"/>
        </w:rPr>
        <w:t xml:space="preserve">TAM/SAM/SOM kesin sayıları — pazar araştırması</w:t>
      </w: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Ürün Durumu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20+ modül kod tabanında çalışır durumda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Multi-tenant + rol bazlı yetki + 5 paket katmanı hazır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PROSAN ENDÜSTRİ + NİHAT TURİZM ilk pilot tenant'lar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Pazaryeri / e-fatura entegrasyonları altyapısı hazır, API key bağlantı sırada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Birim Ekonomisi (Hedef)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Metrik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Hedef Bant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ARPU (aylık)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₺2.851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Mevcut paket karması varsayımı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Brüt marj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%75 – %85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500+ müşteri bandında SaaS standardı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CAC payback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&lt;12 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Mali müşavir kanalı + organik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 retention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&gt;%100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Modül upsell + paket yükseltme</w:t>
            </w:r>
          </w:p>
        </w:tc>
      </w:tr>
    </w:tbl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i/>
          <w:iCs/>
          <w:color w:val="78350F"/>
          <w:sz w:val="20"/>
          <w:szCs w:val="20"/>
        </w:rPr>
        <w:t xml:space="preserve">⚠ Varsayım: Tüm metrikler hedef; pilot sonrası gerçek ölçüm yapılacak.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Hızlı Projeksiyon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Müşteri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Brüt Marj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₺142.535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₺1.710.420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%64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₺1.425.350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₺17.104.200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%81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₺2.850.700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₺34.208.400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%82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Yatırım İhtiyacı &amp; Kullanım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[doldurulacak: </w:t>
      </w:r>
      <w:r>
        <w:rPr>
          <w:rFonts w:ascii="Calibri" w:cs="Calibri" w:eastAsia="Calibri" w:hAnsi="Calibri"/>
          <w:b/>
          <w:bCs/>
          <w:i/>
          <w:iCs/>
          <w:color w:val="B91C1C"/>
          <w:sz w:val="20"/>
          <w:szCs w:val="20"/>
        </w:rPr>
        <w:t xml:space="preserve">Yatırım turu büyüklüğü</w:t>
      </w: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[doldurulacak: </w:t>
      </w:r>
      <w:r>
        <w:rPr>
          <w:rFonts w:ascii="Calibri" w:cs="Calibri" w:eastAsia="Calibri" w:hAnsi="Calibri"/>
          <w:b/>
          <w:bCs/>
          <w:i/>
          <w:iCs/>
          <w:color w:val="B91C1C"/>
          <w:sz w:val="20"/>
          <w:szCs w:val="20"/>
        </w:rPr>
        <w:t xml:space="preserve">Kullanım dağılımı: ekip, pazarlama, altyapı, runway</w:t>
      </w: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Ekip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[doldurulacak: </w:t>
      </w:r>
      <w:r>
        <w:rPr>
          <w:rFonts w:ascii="Calibri" w:cs="Calibri" w:eastAsia="Calibri" w:hAnsi="Calibri"/>
          <w:b/>
          <w:bCs/>
          <w:i/>
          <w:iCs/>
          <w:color w:val="B91C1C"/>
          <w:sz w:val="20"/>
          <w:szCs w:val="20"/>
        </w:rPr>
        <w:t xml:space="preserve">Kurucu(lar) ve ekip CV özetleri</w:t>
      </w: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Niye Şimdi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E-fatura zorunluluğu KOBİ'leri dijital araç aramaya itiyor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Pazaryeri komisyonları artıyor → gerçek kâr önemli hale geldi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Mevcut çözümler 10+ yıllık — modern teknoloji ile yeniden yazma fırsatı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Ticarium365 — Yatırımcı Özeti</dc:title>
  <dc:creator>Ticarium365</dc:creator>
  <cp:lastModifiedBy>Un-named</cp:lastModifiedBy>
  <cp:revision>1</cp:revision>
  <dcterms:created xsi:type="dcterms:W3CDTF">2026-04-19T03:30:54.527Z</dcterms:created>
  <dcterms:modified xsi:type="dcterms:W3CDTF">2026-04-19T03:30:54.527Z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