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rFonts w:ascii="Calibri" w:cs="Calibri" w:eastAsia="Calibri" w:hAnsi="Calibri"/>
          <w:b/>
          <w:bCs/>
          <w:color w:val="1E40AF"/>
          <w:sz w:val="96"/>
          <w:szCs w:val="96"/>
        </w:rPr>
        <w:t xml:space="preserve">Ticarium365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0F172A"/>
          <w:sz w:val="36"/>
          <w:szCs w:val="36"/>
        </w:rPr>
        <w:t xml:space="preserve">Türkiye'nin tek panelli KOBİ işletim sistemi</w:t>
      </w:r>
    </w:p>
    <w:p>
      <w:pPr>
        <w:jc w:val="center"/>
      </w:pPr>
      <w:r>
        <w:rPr>
          <w:rFonts w:ascii="Calibri" w:cs="Calibri" w:eastAsia="Calibri" w:hAnsi="Calibri"/>
          <w:i/>
          <w:iCs/>
          <w:color w:val="64748B"/>
          <w:sz w:val="24"/>
          <w:szCs w:val="24"/>
        </w:rPr>
        <w:t xml:space="preserve">Beş ayrı yazılımı, tek panele indiriyoruz. Üstüne gerçek kâr koyuyoruz.</w:t>
      </w:r>
    </w:p>
    <w:p>
      <w:pPr>
        <w:spacing w:before="1400"/>
        <w:jc w:val="center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Yatırımcı Sunumu · Taslak v1 · 19.04.2026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2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Problem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KOBİ sahibi her ay 5+ ayrı yazılıma para ödüyor — ve hâlâ gerçek kârını bilmiyor.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Parçalı: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Ön muhasebe ayrı, pazaryeri panelleri ayrı, POS yazılımı ayrı, e-fatura ayrı, gider takibi Excel'de.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Tekrarlı: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Aynı ürün, müşteri, fatura 3-4 sisteme tekrar tekrar giriliyor.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Yanıltıcı: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Komisyon, kargo, iade, sermaye bağlama hesap dışı; pazaryerinde "satıyorum" sandığı ürün aslında zarar.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Tıkanan: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Büyüyen KOBİ aniden pahalı kurumsal ERP'ye atlamak zorunda kalıyor — arada köprü yok.</w:t>
      </w:r>
    </w:p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KOBİ sahibi ayda 3-5 bin TL yazılım gideri ödüyor, kâr ekranı hâlâ yok.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3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Çözüm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Tek veri modeli, tek panel, tek abonelik. Üstüne gerçek karlılık motoru.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Birleşik veri: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Ürün, müşteri, fatura, stok, gider — tek kayıt, her ekrandan görünür.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Gerçek kâr motoru: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Komisyon + kargo + iade + sermaye bağlama dahil ürün bazlı net kâr.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Tek tıkla çoklu satış: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Tek ürün — kendi vitrin + ortak vitrin + dış kanallar.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Akıllı fiyat: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Maliyet/kanal/rakip bazlı, kâr koruyan otomatik fiyat önerisi.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B2B ağ: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Firmalar arası ürün/stok paylaşımı, teklif alma, ileride komisyonlu pazar.</w:t>
      </w:r>
    </w:p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KOBİ ayda ödediği toplam yazılım giderini düşürür, kârını ilk kez net görür.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4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Neden Şimdi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Üç dalga aynı anda kırılıyor: regülasyon, AI, ağ ekonomisi.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Regülasyon: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E-fatura ve dijitalleşme zorunlulukları her yıl daha küçük ciroya iniyor — KOBİ'ler dijital araç aramaya itiliyor.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Komisyon baskısı: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Pazaryeri komisyonları ve reklam maliyetleri yükseliyor — KOBİ artık "gerçek kârı" görmek zorunda.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AI olgunlaştı: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Genel amaçlı modeller hızlandı; OCR, fiyat önerisi, talep tahmini ilk kez KOBİ bütçesinde.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Ağ etkisi: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Yalnız operasyon yetmiyor; firmalar arası ortak stok, ortak teklif, ortak vitrin yeni bir gelir katmanı.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Modernizasyon penceresi: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KOBİ tarafında baskın çözümler 10+ yıllık eski mimaride — modern stack ile yeniden yazma penceresi açık.</w:t>
      </w:r>
    </w:p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Bu üç dalga bir arada 10 yılda bir gelir.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5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Ürün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20+ modül kod tabanında çalışıyor. Beş paket katmanında sunuluyor.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Katman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Hedef İşletme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Çekirdek Modüller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Paket 1 — Envanter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Tek dükkân / küçük depo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Stok, sayım, barkod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Paket 2 — Ticaret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Yaygın KOBİ (en büyük segment)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POS, satış, cari, e-arşiv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Paket 3 — İşletme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Çok şubeli, banka kullanan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Banka, gider, OCR, demirbaş, bordro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Paket 4 — Büyüme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Çok kanallı satıcı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Pazaryeri sync, kampanya, sadakat, çoklu para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Paket 5 — Kurumsal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Üretici / kurumsal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Üretim, API, mali müşavir paneli, webhook</w:t>
            </w:r>
          </w:p>
        </w:tc>
      </w:tr>
    </w:tbl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Mimari: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Multi-tenant, rol bazlı yetki, alt-domain izolasyonu — günden 1 ölçek.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UX: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Türkçe-ilk arayüz, KOBİ sahibinin diliyle. Komut paleti, mobil uyumlu.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6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Pazar ve İlk Hedef Sektörler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Türkiye'de 3,4 milyon KOBİ. Adreslenebilir hedef ~400-500 bin işletme.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Pazar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Tahmini Boyut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Yıllık Yazılım Harcaması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TAM — Türkiye'deki tüm KOBİ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3,4 milyon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Yüksek değişkenlik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SAM — En az 1 dijital araç + e-ticaret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400 – 500 bin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₺30K – ₺50K / işletme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SOM — İlk 3 yıl ulaşılabilir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5 – 10 bin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Hedef ARR potansiyeli yüksek</w:t>
            </w:r>
          </w:p>
        </w:tc>
      </w:tr>
    </w:tbl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/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İlk dalgada odaklanılacak 5 dikey: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1) Endüstriyel &amp; Hırdavat: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Hızlı ürün dönüşü, çok sayıda SKU, pazaryeri ağırlıklı satış.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2) Tekstil &amp; Moda Aksesuar: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Çok kanallı (mağaza + online), kampanya yoğun.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3) Turizm &amp; Acente: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Acente operasyonu, müşteri yönetimi, dönemsel kampanya.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4) Gıda &amp; Bakkaliye: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Stok devir hızı kritik, raf ömrü maliyeti gerçek karlılığı yiyor.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5) Mobilya &amp; Küçük Üretici: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Üretim reçetesi (BOM), ham madde maliyeti, fason süreci.</w:t>
      </w:r>
    </w:p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İlk iki tenant zaten bu segmentlerden — referans + vaka çalışması üreten dikey strateji.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7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GTM Planı ve İlk 12 Ay Müşteri Kazanımı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Üç kanaldan paralel: dikey vaka çalışması, mali müşavir ortaklığı, sektör derneği iş birliği.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Kanal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Mantık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12 Ay Hedef Pay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Mali müşavir ortaklığı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Müşavir 50-300 KOBİ'ye günlük temas. White-label panel ile dağıtım.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%40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Sektör dernekleri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Hırdavatçı, tekstilci, turizm acente birlikleri — toplu demo, üye indirimi.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%25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Dikey vaka çalışması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İlk pilot başarısı → aynı sektörde organic referans + içerik.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%20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Performans pazarlama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Google + sosyal — sadece doğrulanmış mesajlar için.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%15</w:t>
            </w:r>
          </w:p>
        </w:tc>
      </w:tr>
    </w:tbl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/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12 aylık takvim: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Çeyrek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Müşteri (Kümülatif)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Odak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Kilit Çıktı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Ay 1-3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5 – 10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Pilot derinleştirme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İlk 2 vaka çalışması, NPS ölçümü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Ay 4-6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20 – 35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Müşavir programı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10 müşavir partner, ilk white-label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Ay 7-9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60 – 90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Dernek kanal açılımı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2 sektör derneği anlaşma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Ay 10-12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120 – 180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Ölçek + ücretli kanal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Tekrarlanabilir CAC, ilk yıl ARR taban</w:t>
            </w:r>
          </w:p>
        </w:tc>
      </w:tr>
    </w:tbl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Hedef yıl sonu: 120-180 ödeyen müşteri, doğrulanmış birim ekonomi, 2 sektörde lider referans.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8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Kategori Bazlı Rekabet ve Moat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Pazarda birebir muadil yok. Rekabet beş ayrı yazılım kategorisinden geliyor; hiçbiri tek başına yetmiyor.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Boyut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Ön Muh. SaaS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Geleneksel ERP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Pazaryeri Aracı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POS Yazılımı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Niş SaaS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Ticarium365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Hedef segment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KOBİ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Orta+Büyük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E-tic. satıcı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Mağaza/Şube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Niş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KOBİ + büyüyen orta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Kurulum süresi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Düşük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Yüksek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Düşük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Orta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Düşük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Düşük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Ön muhasebe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Sınırlı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Değişken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Stok / depo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Sınırlı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Güçlü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Sınırlı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Orta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Değişken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Güçlü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Modüler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Pazaryeri sync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Eklenti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Sınırlı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Bazıları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Gerçek karlılık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Sadece ciro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Karmaşık rapor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Kısmi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Çoklu kanal birleşik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Hayır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Kısmi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Sadece pazaryeri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Hayır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Hayır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Evet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Multi-tenant mimari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Var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Genelde 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Var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Genelde 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Değişken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Var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B2B firma ağı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 (Faz 4)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AI fiyat / OCR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Erken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Geç adapte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Sınırlı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Yok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Bazıları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Çekirdek (Faz 5)</w:t>
            </w:r>
          </w:p>
        </w:tc>
      </w:tr>
    </w:tbl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/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Zamanla derinleşen üç moat: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Veri: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Müşteri verisi büyüdükçe karlılık önerileri sektör benchmarklarına dönüşür — taklit edilemez veri katmanı.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Dağıtım: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Müşavir + dernek kanalları kurulduğunda taklit etmesi yıllar süren dağıtım yapısı.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Ağ: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Firma sayısı arttıkça B2B ağı her yeni üye için daha değerli hale gelir — klasik ağ etkisi.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9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Sayılar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Ortalama kullanıcı geliri (ARPU): ₺2.851 / ay</w:t>
      </w:r>
    </w:p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Varsayım: paket karması Paket 2 ağırlıklı (%50). %20 müşteri yıllık ödüyor (2 ay bedava).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Müşteri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MRR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ARR</w:t>
            </w:r>
          </w:p>
        </w:tc>
        <w:tc>
          <w:tcPr>
            <w:shd w:fill="F1F5F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Brüt Marj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50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₺142.535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₺1.710.420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%64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500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₺1.425.350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₺17.104.200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%81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0"/>
                <w:szCs w:val="20"/>
              </w:rPr>
              <w:t xml:space="preserve">1.000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₺2.850.700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₺34.208.400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0F172A"/>
                <w:sz w:val="20"/>
                <w:szCs w:val="20"/>
              </w:rPr>
              <w:t xml:space="preserve">%82</w:t>
            </w:r>
          </w:p>
        </w:tc>
      </w:tr>
    </w:tbl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50 müşteri: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Erken aşama; sabit destek/pazarlama henüz amortize değil.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500 müşteri: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Sağlıklı SaaS bandı; R&amp;D iç finansmanla karşılanabilir.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1000 müşteri: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B2B komisyon kanalı henüz dahil değil — yukarı potansiyel.</w:t>
      </w:r>
    </w:p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Her senaryoda brüt marj %60+ — SaaS standardının üzerinde.</w:t>
      </w:r>
    </w:p>
    <w:p>
      <w:pPr>
        <w:sectPr>
          <w:pgSz w:w="10630" w:h="16838" w:orient="landscape"/>
          <w:pgMar w:top="720" w:right="1080" w:bottom="720" w:left="1080" w:header="708" w:footer="708" w:gutter="0"/>
          <w:pgNumType/>
          <w:docGrid w:linePitch="360"/>
        </w:sectPr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64748B"/>
          <w:sz w:val="18"/>
          <w:szCs w:val="18"/>
        </w:rPr>
        <w:t xml:space="preserve">Slayt 10 / 10</w:t>
      </w:r>
    </w:p>
    <w:p>
      <w:pPr>
        <w:pBdr>
          <w:bottom w:val="single" w:color="1E40AF" w:sz="18" w:space="6"/>
        </w:pBdr>
        <w:spacing w:after="240"/>
      </w:pPr>
      <w:r>
        <w:rPr>
          <w:rFonts w:ascii="Calibri" w:cs="Calibri" w:eastAsia="Calibri" w:hAnsi="Calibri"/>
          <w:b/>
          <w:bCs/>
          <w:color w:val="0F172A"/>
          <w:sz w:val="48"/>
          <w:szCs w:val="48"/>
        </w:rPr>
        <w:t xml:space="preserve">Kurucu Hikâyesi · AI/B2B Fırsatı · Yatırım Talebi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Kurucu hikâyesi</w:t>
      </w:r>
    </w:p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[doldurulacak: kurucunun KOBİ dünyasındaki birikimi, neden bu probleme girdiği, daha önce çözmeye çalıştığı somut deneyim. 4-6 cümle.]</w:t>
      </w:r>
    </w:p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[doldurulacak: ilk pilot tenant'ın (endüstriyel dikey) gerçek operasyon ihtiyacından doğan ürün geri bildirim döngüsü.]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Niye AI bu ürün için büyük fırsat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Akıllı fiyat: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KOBİ'de fiyat kararı sezgisel veriliyor; maliyet + kanal komisyonu + rakip + stok devir hızı hesabını insan yapamaz, model yapar.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OCR: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Manuel veri girişi en büyük sürtünme; fatura/fiş OCR ile saniyede sisteme akıyor.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Tahmin: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Hangi ürün ne kadar bekleyecek, hangi müşteri kaybedilmek üzere — soruları sektör verisiyle yanıtlanır.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Niye B2B network büyük fırsat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Toplu güç: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Aynı sektördeki bin firma aynı tedarikçiden alıyor; ortak teklif gücü doğar.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Stok eşleşmesi: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Bir firmanın fazla stoğu, diğerinin acil ihtiyacı; ağ içi pazar bunu eşleştirir.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Yeni gelir: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Sektör dikey pazarı kurulduğunda işlem komisyonu — abonelikten bağımsız ikinci gelir kolu.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rFonts w:ascii="Calibri" w:cs="Calibri" w:eastAsia="Calibri" w:hAnsi="Calibri"/>
          <w:b/>
          <w:bCs/>
          <w:color w:val="1E40AF"/>
          <w:sz w:val="22"/>
          <w:szCs w:val="22"/>
        </w:rPr>
        <w:t xml:space="preserve">Compounding: </w:t>
      </w:r>
      <w:r>
        <w:rPr>
          <w:rFonts w:ascii="Calibri" w:cs="Calibri" w:eastAsia="Calibri" w:hAnsi="Calibri"/>
          <w:color w:val="0F172A"/>
          <w:sz w:val="22"/>
          <w:szCs w:val="22"/>
        </w:rPr>
        <w:t xml:space="preserve">Network etkisi: her yeni firma sistemin tüm üyeleri için değeri artırır — taklit edilemez moat.</w:t>
      </w:r>
    </w:p>
    <w:p>
      <w:pPr>
        <w:spacing w:after="240" w:before="120"/>
      </w:pPr>
      <w:r>
        <w:rPr>
          <w:rFonts w:ascii="Calibri" w:cs="Calibri" w:eastAsia="Calibri" w:hAnsi="Calibri"/>
          <w:b/>
          <w:bCs/>
          <w:color w:val="1E40AF"/>
          <w:sz w:val="28"/>
          <w:szCs w:val="28"/>
        </w:rPr>
        <w:t xml:space="preserve">Yatırım talebi</w:t>
      </w:r>
    </w:p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[doldurulacak: tur büyüklüğü, post-money beklentisi]</w:t>
      </w:r>
    </w:p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[doldurulacak: 18 aylık runway dağılımı — ekip / pazarlama / altyapı / yedek]</w:t>
      </w:r>
    </w:p>
    <w:p>
      <w:pPr>
        <w:spacing w:after="140" w:line="320"/>
      </w:pPr>
      <w:r>
        <w:rPr>
          <w:rFonts w:ascii="Calibri" w:cs="Calibri" w:eastAsia="Calibri" w:hAnsi="Calibri"/>
          <w:color w:val="0F172A"/>
          <w:sz w:val="22"/>
          <w:szCs w:val="22"/>
        </w:rPr>
        <w:t xml:space="preserve">[doldurulacak: bu turun sonunda ulaşılacak metrikler — müşteri sayısı, ARR, kanal kanıtı]</w:t>
      </w:r>
    </w:p>
    <w:p>
      <w:pPr>
        <w:shd w:fill="FEF3C7" w:color="auto" w:val="clear"/>
        <w:spacing w:after="200" w:before="120"/>
      </w:pPr>
      <w:r>
        <w:rPr>
          <w:rFonts w:ascii="Calibri" w:cs="Calibri" w:eastAsia="Calibri" w:hAnsi="Calibri"/>
          <w:b/>
          <w:bCs/>
          <w:color w:val="78350F"/>
          <w:sz w:val="24"/>
          <w:szCs w:val="24"/>
        </w:rPr>
        <w:t xml:space="preserve">→ Doğru zamanda, doğru pazara, doğru mimariyle. Türkiye KOBİ işletim sistemini kuruyoruz.</w:t>
      </w:r>
    </w:p>
    <w:sectPr>
      <w:pgSz w:w="10630" w:h="16838" w:orient="landscape"/>
      <w:pgMar w:top="720" w:right="1080" w:bottom="72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Ticarium365 — Yatırımcı Sunumu (10 Slayt)</dc:title>
  <dc:creator>Ticarium365</dc:creator>
  <cp:lastModifiedBy>Un-named</cp:lastModifiedBy>
  <cp:revision>1</cp:revision>
  <dcterms:created xsi:type="dcterms:W3CDTF">2026-04-19T11:45:11.527Z</dcterms:created>
  <dcterms:modified xsi:type="dcterms:W3CDTF">2026-04-19T11:45:11.527Z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