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Calibri" w:cs="Calibri" w:eastAsia="Calibri" w:hAnsi="Calibri"/>
          <w:b/>
          <w:bCs/>
          <w:color w:val="1E40AF"/>
          <w:sz w:val="96"/>
          <w:szCs w:val="96"/>
        </w:rPr>
        <w:t xml:space="preserve">Ticarium365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0F172A"/>
          <w:sz w:val="36"/>
          <w:szCs w:val="36"/>
        </w:rPr>
        <w:t xml:space="preserve">Türkiye'nin tek panelli KOBİ işletim sistemi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Beş ayrı yazılımı, tek panele indiriyoruz. Üstüne gerçek kâr koyuyoruz.</w:t>
      </w:r>
    </w:p>
    <w:p>
      <w:pPr>
        <w:spacing w:before="1400"/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Yatırımcı Sunumu · Taslak v1 · 19.04.2026</w:t>
      </w:r>
    </w:p>
    <w:p>
      <w:pPr>
        <w:sectPr>
          <w:pgSz w:w="10630" w:h="16838" w:orient="landscape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Slayt 2 / 10</w:t>
      </w:r>
    </w:p>
    <w:p>
      <w:pPr>
        <w:pBdr>
          <w:bottom w:val="single" w:color="1E40AF" w:sz="18" w:space="6"/>
        </w:pBdr>
        <w:spacing w:after="24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Problem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KOBİ sahibi her ay 5+ ayrı yazılıma para ödüyor — ve hâlâ gerçek kârını bilmiyor.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Parçalı: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Ön muhasebe ayrı, pazaryeri panelleri ayrı, POS yazılımı ayrı, e-fatura ayrı, gider takibi Excel'de.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Tekrarlı: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Aynı ürün, müşteri, fatura 3-4 sisteme tekrar tekrar giriliyor.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Yanıltıcı: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Komisyon, kargo, iade, sermaye bağlama hesap dışı; pazaryerinde "satıyorum" sandığı ürün aslında zarar.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Tıkanan: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Büyüyen KOBİ aniden pahalı kurumsal ERP'ye atlamak zorunda kalıyor — arada köprü yok.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b/>
          <w:bCs/>
          <w:color w:val="78350F"/>
          <w:sz w:val="24"/>
          <w:szCs w:val="24"/>
        </w:rPr>
        <w:t xml:space="preserve">→ KOBİ sahibi ayda 3-5 bin TL yazılım gideri ödüyor, kâr ekranı hâlâ yok.</w:t>
      </w:r>
    </w:p>
    <w:p>
      <w:pPr>
        <w:sectPr>
          <w:pgSz w:w="10630" w:h="16838" w:orient="landscape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Slayt 3 / 10</w:t>
      </w:r>
    </w:p>
    <w:p>
      <w:pPr>
        <w:pBdr>
          <w:bottom w:val="single" w:color="1E40AF" w:sz="18" w:space="6"/>
        </w:pBdr>
        <w:spacing w:after="24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Çözüm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Tek veri modeli, tek panel, tek abonelik. Üstüne gerçek karlılık motoru.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Birleşik veri: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Ürün, müşteri, fatura, stok, gider — tek kayıt, her ekrandan görünür.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Gerçek kâr motoru: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Komisyon + kargo + iade + sermaye bağlama dahil ürün bazlı net kâr.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Tek tıkla çoklu satış: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Tek ürün — kendi vitrin + ortak vitrin + dış kanallar.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Akıllı fiyat: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Maliyet/kanal/rakip bazlı, kâr koruyan otomatik fiyat önerisi.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B2B ağ: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Firmalar arası ürün/stok paylaşımı, teklif alma, ileride komisyonlu pazar.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b/>
          <w:bCs/>
          <w:color w:val="78350F"/>
          <w:sz w:val="24"/>
          <w:szCs w:val="24"/>
        </w:rPr>
        <w:t xml:space="preserve">→ KOBİ ayda ödediği toplam yazılım giderini düşürür, kârını ilk kez net görür.</w:t>
      </w:r>
    </w:p>
    <w:p>
      <w:pPr>
        <w:sectPr>
          <w:pgSz w:w="10630" w:h="16838" w:orient="landscape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Slayt 4 / 10</w:t>
      </w:r>
    </w:p>
    <w:p>
      <w:pPr>
        <w:pBdr>
          <w:bottom w:val="single" w:color="1E40AF" w:sz="18" w:space="6"/>
        </w:pBdr>
        <w:spacing w:after="24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Neden Şimdi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Üç dalga aynı anda kırılıyor: regülasyon, AI, ağ ekonomisi.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Regülasyon: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E-fatura ve dijitalleşme zorunlulukları her yıl daha küçük ciroya iniyor — KOBİ'ler dijital araç aramaya itiliyor.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Komisyon baskısı: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Pazaryeri komisyonları ve reklam maliyetleri yükseliyor — KOBİ artık "gerçek kârı" görmek zorunda.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AI olgunlaştı: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Genel amaçlı modeller hızlandı; OCR, fiyat önerisi, talep tahmini ilk kez KOBİ bütçesinde.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Ağ etkisi: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Yalnız operasyon yetmiyor; firmalar arası ortak stok, ortak teklif, ortak vitrin yeni bir gelir katmanı.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Modernizasyon penceresi: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KOBİ tarafında baskın çözümler 10+ yıllık eski mimaride — modern stack ile yeniden yazma penceresi açık.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b/>
          <w:bCs/>
          <w:color w:val="78350F"/>
          <w:sz w:val="24"/>
          <w:szCs w:val="24"/>
        </w:rPr>
        <w:t xml:space="preserve">→ Bu üç dalga bir arada 10 yılda bir gelir.</w:t>
      </w:r>
    </w:p>
    <w:p>
      <w:pPr>
        <w:sectPr>
          <w:pgSz w:w="10630" w:h="16838" w:orient="landscape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Slayt 5 / 10</w:t>
      </w:r>
    </w:p>
    <w:p>
      <w:pPr>
        <w:pBdr>
          <w:bottom w:val="single" w:color="1E40AF" w:sz="18" w:space="6"/>
        </w:pBdr>
        <w:spacing w:after="24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Ürün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20+ modül kod tabanında çalışıyor. Beş paket katmanında sunuluyor.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Katman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Hedef İşletme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Çekirdek Modüller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Paket 1 — Envanter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Tek dükkân / küçük depo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Stok, sayım, barkod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Paket 2 — Ticaret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Yaygın KOBİ (en büyük segment)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POS, satış, cari, e-arşiv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Paket 3 — İşletme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Çok şubeli, banka kullanan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Banka, gider, OCR, demirbaş, bordro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Paket 4 — Büyüme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Çok kanallı satıcı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Pazaryeri sync, kampanya, sadakat, çoklu para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Paket 5 — Kurumsal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Üretici / kurumsal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Üretim, API, mali müşavir paneli, webhook</w:t>
            </w:r>
          </w:p>
        </w:tc>
      </w:tr>
    </w:tbl>
    <w:p>
      <w:pPr>
        <w:spacing w:after="14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Mimari: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Multi-tenant, rol bazlı yetki, alt-domain izolasyonu — günden 1 ölçek.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UX: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Türkçe-ilk arayüz, KOBİ sahibinin diliyle. Komut paleti, mobil uyumlu.</w:t>
      </w:r>
    </w:p>
    <w:p>
      <w:pPr>
        <w:sectPr>
          <w:pgSz w:w="10630" w:h="16838" w:orient="landscape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Slayt 6 / 10</w:t>
      </w:r>
    </w:p>
    <w:p>
      <w:pPr>
        <w:pBdr>
          <w:bottom w:val="single" w:color="1E40AF" w:sz="18" w:space="6"/>
        </w:pBdr>
        <w:spacing w:after="24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Pazar ve İlk Hedef Sektörler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Türkiye'de 3,4 milyon KOBİ. Adreslenebilir hedef ~400-500 bin işletme.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Pazar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Tahmini Boyut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Yıllık Yazılım Harcaması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TAM — Türkiye'deki tüm KOBİ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3,4 milyon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Yüksek değişkenlik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SAM — En az 1 dijital araç + e-ticaret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400 – 500 bin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₺30K – ₺50K / işletme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SOM — İlk 3 yıl ulaşılabilir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 – 10 bin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Hedef ARR potansiyeli yüksek</w:t>
            </w:r>
          </w:p>
        </w:tc>
      </w:tr>
    </w:tbl>
    <w:p>
      <w:pPr>
        <w:spacing w:after="14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İlk dalgada odaklanılacak 5 dikey: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1) Endüstriyel &amp; Hırdavat: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Hızlı ürün dönüşü, çok sayıda SKU, pazaryeri ağırlıklı satış.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2) Tekstil &amp; Moda Aksesuar: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Çok kanallı (mağaza + online), kampanya yoğun.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3) Turizm &amp; Acente: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Acente operasyonu, müşteri yönetimi, dönemsel kampanya.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4) Gıda &amp; Bakkaliye: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Stok devir hızı kritik, raf ömrü maliyeti gerçek karlılığı yiyor.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5) Mobilya &amp; Küçük Üretici: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Üretim reçetesi (BOM), ham madde maliyeti, fason süreci.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b/>
          <w:bCs/>
          <w:color w:val="78350F"/>
          <w:sz w:val="24"/>
          <w:szCs w:val="24"/>
        </w:rPr>
        <w:t xml:space="preserve">→ İlk iki tenant zaten bu segmentlerden — referans + vaka çalışması üreten dikey strateji.</w:t>
      </w:r>
    </w:p>
    <w:p>
      <w:pPr>
        <w:sectPr>
          <w:pgSz w:w="10630" w:h="16838" w:orient="landscape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Slayt 7 / 10</w:t>
      </w:r>
    </w:p>
    <w:p>
      <w:pPr>
        <w:pBdr>
          <w:bottom w:val="single" w:color="1E40AF" w:sz="18" w:space="6"/>
        </w:pBdr>
        <w:spacing w:after="24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GTM Planı ve İlk 12 Ay Müşteri Kazanımı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Üç kanaldan paralel: dikey vaka çalışması, mali müşavir ortaklığı, sektör derneği iş birliği.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Kanal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Mantık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12 Ay Hedef Pay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Mali müşavir ortaklığı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Müşavir 50-300 KOBİ'ye günlük temas. White-label panel ile dağıtım.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%40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Sektör dernekleri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Hırdavatçı, tekstilci, turizm acente birlikleri — toplu demo, üye indirimi.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%25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Dikey vaka çalışması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İlk pilot başarısı → aynı sektörde organic referans + içerik.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%20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Performans pazarlama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Google + sosyal — sadece doğrulanmış mesajlar için.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%15</w:t>
            </w:r>
          </w:p>
        </w:tc>
      </w:tr>
    </w:tbl>
    <w:p>
      <w:pPr>
        <w:spacing w:after="14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12 aylık takvim: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Çeyrek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Müşteri (Kümülatif)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Odak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Kilit Çıktı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Ay 1-3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5 – 10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Pilot derinleştirme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İlk 2 vaka çalışması, NPS ölçümü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Ay 4-6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20 – 35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Müşavir programı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10 müşavir partner, ilk white-label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Ay 7-9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60 – 90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Dernek kanal açılımı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2 sektör derneği anlaşma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Ay 10-12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120 – 180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Ölçek + ücretli kanal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Tekrarlanabilir CAC, ilk yıl ARR taban</w:t>
            </w:r>
          </w:p>
        </w:tc>
      </w:tr>
    </w:tbl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b/>
          <w:bCs/>
          <w:color w:val="78350F"/>
          <w:sz w:val="24"/>
          <w:szCs w:val="24"/>
        </w:rPr>
        <w:t xml:space="preserve">→ Hedef yıl sonu: 120-180 ödeyen müşteri, doğrulanmış birim ekonomi, 2 sektörde lider referans.</w:t>
      </w:r>
    </w:p>
    <w:p>
      <w:pPr>
        <w:sectPr>
          <w:pgSz w:w="10630" w:h="16838" w:orient="landscape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Slayt 8 / 10</w:t>
      </w:r>
    </w:p>
    <w:p>
      <w:pPr>
        <w:pBdr>
          <w:bottom w:val="single" w:color="1E40AF" w:sz="18" w:space="6"/>
        </w:pBdr>
        <w:spacing w:after="24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Rakiplere Karşı Moat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Pazardaki çözümlerin hiçbiri dört avantajı bir arada sunmuyor.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Boyut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Pazardaki Tipik Çözüm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Ticarium365 Avantajı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Kapsam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Tek modülde derin, diğer modüllerde yok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Tek panelde 25+ modül entegre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Kâr motoru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Sadece satış cirosu görünür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Komisyon/iade/kargo/sermaye dahil net kâr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Çok kanal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Her pazaryeri için ayrı panel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Tek ürün → tüm kanallar tek tıkla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Mimari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Eski monolitik, tek tenant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Multi-tenant, modern stack, günden 1 ölçek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Ağ etkisi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Yok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Firmalar arası B2B ağı + ortak vitrin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Türkiye'ye özgü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Çoğu yabancı menşeli, geç adapte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E-fatura/KVKK günden 1, Türkçe-ilk</w:t>
            </w:r>
          </w:p>
        </w:tc>
      </w:tr>
    </w:tbl>
    <w:p>
      <w:pPr>
        <w:spacing w:after="14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Zamanla derinleşen üç moat: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Veri: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Müşteri verisi büyüdükçe karlılık önerileri sektör benchmarklarına dönüşür.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Dağıtım: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Müşavir + dernek kanalları kurulduğunda taklit etmesi yıllar süren dağıtım yapısı.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Ağ: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Firma sayısı arttıkça B2B ağı her yeni üye için daha değerli hale gelir.</w:t>
      </w:r>
    </w:p>
    <w:p>
      <w:pPr>
        <w:sectPr>
          <w:pgSz w:w="10630" w:h="16838" w:orient="landscape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Slayt 9 / 10</w:t>
      </w:r>
    </w:p>
    <w:p>
      <w:pPr>
        <w:pBdr>
          <w:bottom w:val="single" w:color="1E40AF" w:sz="18" w:space="6"/>
        </w:pBdr>
        <w:spacing w:after="24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Sayılar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Ortalama kullanıcı geliri (ARPU): ₺2.851 / ay</w:t>
      </w:r>
    </w:p>
    <w:p>
      <w:pPr>
        <w:spacing w:after="14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Varsayım: paket karması Paket 2 ağırlıklı (%50). %20 müşteri yıllık ödüyor (2 ay bedava).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Müşteri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MRR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ARR</w:t>
            </w:r>
          </w:p>
        </w:tc>
        <w:tc>
          <w:tcPr>
            <w:shd w:fill="F1F5F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Brüt Marj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50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₺142.535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₺1.710.420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%64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500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₺1.425.350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₺17.104.200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%81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1.000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₺2.850.700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₺34.208.400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0F172A"/>
                <w:sz w:val="20"/>
                <w:szCs w:val="20"/>
              </w:rPr>
              <w:t xml:space="preserve">%82</w:t>
            </w:r>
          </w:p>
        </w:tc>
      </w:tr>
    </w:tbl>
    <w:p>
      <w:pPr>
        <w:spacing w:after="14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50 müşteri: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Erken aşama; sabit destek/pazarlama henüz amortize değil.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500 müşteri: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Sağlıklı SaaS bandı; R&amp;D iç finansmanla karşılanabilir.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1000 müşteri: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B2B komisyon kanalı henüz dahil değil — yukarı potansiyel.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b/>
          <w:bCs/>
          <w:color w:val="78350F"/>
          <w:sz w:val="24"/>
          <w:szCs w:val="24"/>
        </w:rPr>
        <w:t xml:space="preserve">→ Her senaryoda brüt marj %60+ — SaaS standardının üzerinde.</w:t>
      </w:r>
    </w:p>
    <w:p>
      <w:pPr>
        <w:sectPr>
          <w:pgSz w:w="10630" w:h="16838" w:orient="landscape"/>
          <w:pgMar w:top="720" w:right="1080" w:bottom="720" w:left="1080" w:header="708" w:footer="708" w:gutter="0"/>
          <w:pgNumType/>
          <w:docGrid w:linePitch="360"/>
        </w:sectPr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64748B"/>
          <w:sz w:val="18"/>
          <w:szCs w:val="18"/>
        </w:rPr>
        <w:t xml:space="preserve">Slayt 10 / 10</w:t>
      </w:r>
    </w:p>
    <w:p>
      <w:pPr>
        <w:pBdr>
          <w:bottom w:val="single" w:color="1E40AF" w:sz="18" w:space="6"/>
        </w:pBdr>
        <w:spacing w:after="240"/>
      </w:pPr>
      <w:r>
        <w:rPr>
          <w:rFonts w:ascii="Calibri" w:cs="Calibri" w:eastAsia="Calibri" w:hAnsi="Calibri"/>
          <w:b/>
          <w:bCs/>
          <w:color w:val="0F172A"/>
          <w:sz w:val="48"/>
          <w:szCs w:val="48"/>
        </w:rPr>
        <w:t xml:space="preserve">Kurucu Hikâyesi · AI/B2B Fırsatı · Yatırım Talebi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Kurucu hikâyesi</w:t>
      </w:r>
    </w:p>
    <w:p>
      <w:pPr>
        <w:spacing w:after="14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[doldurulacak: kurucunun KOBİ dünyasındaki birikimi, neden bu probleme girdiği, daha önce çözmeye çalıştığı somut deneyim. 4-6 cümle.]</w:t>
      </w:r>
    </w:p>
    <w:p>
      <w:pPr>
        <w:spacing w:after="14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[doldurulacak: ilk pilot tenant'ın (PROSAN ENDÜSTRİ) gerçek operasyon ihtiyacından doğan ürün geri bildirim döngüsü.]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Niye AI bu ürün için büyük fırsat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Akıllı fiyat: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KOBİ'de fiyat kararı sezgisel veriliyor; maliyet + kanal komisyonu + rakip + stok devir hızı hesabını insan yapamaz, model yapar.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OCR: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Manuel veri girişi en büyük sürtünme; fatura/fiş OCR ile saniyede sisteme akıyor.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Tahmin: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Hangi ürün ne kadar bekleyecek, hangi müşteri kaybedilmek üzere — soruları sektör verisiyle yanıtlanır.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Niye B2B network büyük fırsat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Toplu güç: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Aynı sektördeki bin firma aynı tedarikçiden alıyor; ortak teklif gücü doğar.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Stok eşleşmesi: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Bir firmanın fazla stoğu, diğerinin acil ihtiyacı; ağ içi pazar bunu eşleştirir.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Yeni gelir: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Sektör dikey pazarı kurulduğunda işlem komisyonu — abonelikten bağımsız ikinci gelir kolu.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libri" w:cs="Calibri" w:eastAsia="Calibri" w:hAnsi="Calibri"/>
          <w:b/>
          <w:bCs/>
          <w:color w:val="1E40AF"/>
          <w:sz w:val="22"/>
          <w:szCs w:val="22"/>
        </w:rPr>
        <w:t xml:space="preserve">Compounding: </w:t>
      </w:r>
      <w:r>
        <w:rPr>
          <w:rFonts w:ascii="Calibri" w:cs="Calibri" w:eastAsia="Calibri" w:hAnsi="Calibri"/>
          <w:color w:val="0F172A"/>
          <w:sz w:val="22"/>
          <w:szCs w:val="22"/>
        </w:rPr>
        <w:t xml:space="preserve">Network etkisi: her yeni firma sistemin tüm üyeleri için değeri artırır — taklit edilemez moat.</w:t>
      </w:r>
    </w:p>
    <w:p>
      <w:pPr>
        <w:spacing w:after="240" w:before="120"/>
      </w:pPr>
      <w:r>
        <w:rPr>
          <w:rFonts w:ascii="Calibri" w:cs="Calibri" w:eastAsia="Calibri" w:hAnsi="Calibri"/>
          <w:b/>
          <w:bCs/>
          <w:color w:val="1E40AF"/>
          <w:sz w:val="28"/>
          <w:szCs w:val="28"/>
        </w:rPr>
        <w:t xml:space="preserve">Yatırım talebi</w:t>
      </w:r>
    </w:p>
    <w:p>
      <w:pPr>
        <w:spacing w:after="14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[doldurulacak: tur büyüklüğü, post-money beklentisi]</w:t>
      </w:r>
    </w:p>
    <w:p>
      <w:pPr>
        <w:spacing w:after="14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[doldurulacak: 18 aylık runway dağılımı — ekip / pazarlama / altyapı / yedek]</w:t>
      </w:r>
    </w:p>
    <w:p>
      <w:pPr>
        <w:spacing w:after="140" w:line="320"/>
      </w:pPr>
      <w:r>
        <w:rPr>
          <w:rFonts w:ascii="Calibri" w:cs="Calibri" w:eastAsia="Calibri" w:hAnsi="Calibri"/>
          <w:color w:val="0F172A"/>
          <w:sz w:val="22"/>
          <w:szCs w:val="22"/>
        </w:rPr>
        <w:t xml:space="preserve">[doldurulacak: bu turun sonunda ulaşılacak metrikler — müşteri sayısı, ARR, kanal kanıtı]</w:t>
      </w:r>
    </w:p>
    <w:p>
      <w:pPr>
        <w:shd w:fill="FEF3C7" w:color="auto" w:val="clear"/>
        <w:spacing w:after="200" w:before="120"/>
      </w:pPr>
      <w:r>
        <w:rPr>
          <w:rFonts w:ascii="Calibri" w:cs="Calibri" w:eastAsia="Calibri" w:hAnsi="Calibri"/>
          <w:b/>
          <w:bCs/>
          <w:color w:val="78350F"/>
          <w:sz w:val="24"/>
          <w:szCs w:val="24"/>
        </w:rPr>
        <w:t xml:space="preserve">→ Doğru zamanda, doğru pazara, doğru mimariyle. Türkiye KOBİ işletim sistemini kuruyoruz.</w:t>
      </w:r>
    </w:p>
    <w:sectPr>
      <w:pgSz w:w="10630" w:h="16838" w:orient="landscape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Ticarium365 — Yatırımcı Sunumu (10 Slayt)</dc:title>
  <dc:creator>Ticarium365</dc:creator>
  <cp:lastModifiedBy>Un-named</cp:lastModifiedBy>
  <cp:revision>1</cp:revision>
  <dcterms:created xsi:type="dcterms:W3CDTF">2026-04-19T03:43:13.110Z</dcterms:created>
  <dcterms:modified xsi:type="dcterms:W3CDTF">2026-04-19T03:43:13.110Z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