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3BD73" w14:textId="77777777" w:rsidR="00484260" w:rsidRDefault="00484260">
      <w:pPr>
        <w:jc w:val="center"/>
      </w:pPr>
    </w:p>
    <w:p w14:paraId="1629A344" w14:textId="77777777" w:rsidR="00484260" w:rsidRDefault="00484260">
      <w:pPr>
        <w:jc w:val="center"/>
      </w:pPr>
    </w:p>
    <w:p w14:paraId="196CC393" w14:textId="77777777" w:rsidR="00484260" w:rsidRPr="00484260" w:rsidRDefault="0048426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8D1656" w14:textId="77777777" w:rsidR="00484260" w:rsidRPr="00484260" w:rsidRDefault="0048426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814F06" w14:textId="77777777" w:rsidR="00484260" w:rsidRPr="00484260" w:rsidRDefault="0048426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66AF81" w14:textId="77777777" w:rsidR="00484260" w:rsidRPr="00484260" w:rsidRDefault="0048426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DF9EAF" w14:textId="77777777" w:rsidR="00484260" w:rsidRPr="00484260" w:rsidRDefault="0048426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B3ADE5" w14:textId="77777777" w:rsidR="00484260" w:rsidRPr="00484260" w:rsidRDefault="0048426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18E985" w14:textId="77777777" w:rsidR="00484260" w:rsidRPr="00484260" w:rsidRDefault="0048426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E36D57" w14:textId="77777777" w:rsidR="00484260" w:rsidRPr="00484260" w:rsidRDefault="0048426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62435" w14:textId="01C36AC3"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66A7DE31"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MANUAL DE INSTALACIÓN</w:t>
      </w:r>
      <w:r w:rsidRPr="00484260">
        <w:rPr>
          <w:color w:val="000000" w:themeColor="text1"/>
          <w:sz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DE MICROSOFT SQL SERVER 2025</w:t>
      </w:r>
    </w:p>
    <w:p w14:paraId="041FFB5A" w14:textId="08BCE714" w:rsidR="006A4DD4" w:rsidRPr="00484260" w:rsidRDefault="00000000" w:rsidP="0048426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8426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84260">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9FA4FBC" w14:textId="77777777" w:rsidR="006A4DD4" w:rsidRPr="00484260" w:rsidRDefault="00000000">
      <w:pPr>
        <w:pStyle w:val="Ttulo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Introducción</w:t>
      </w:r>
    </w:p>
    <w:p w14:paraId="72D1C74B"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Microsoft SQL Server es un sistema de gestión de bases de datos relacionales que permite almacenar, organizar, consultar y administrar información mediante SQL. Este manual describe el proceso de instalación de SQL Server 2025 mostrado en las capturas del documento proporcionado.</w:t>
      </w:r>
    </w:p>
    <w:p w14:paraId="74D78CF1"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 imágenes se conservan como referencia visual y cada una se acompaña de una explicación. Los nombres de botones y opciones pueden variar ligeramente según el idioma o la versión del instalador.</w:t>
      </w:r>
    </w:p>
    <w:p w14:paraId="0C46EDC5" w14:textId="77777777" w:rsidR="006A4DD4" w:rsidRPr="00484260" w:rsidRDefault="00000000">
      <w:pPr>
        <w:pStyle w:val="Ttulo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Objetivo</w:t>
      </w:r>
    </w:p>
    <w:p w14:paraId="181C478E"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Instalar una instancia de Microsoft SQL Server 2025 en un equipo Windows, seleccionando la edición Developer y completando las pantallas principales del asistente de instalación.</w:t>
      </w:r>
    </w:p>
    <w:p w14:paraId="0FF1D3C7" w14:textId="77777777" w:rsidR="006A4DD4" w:rsidRPr="00484260" w:rsidRDefault="00000000">
      <w:pPr>
        <w:pStyle w:val="Ttulo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Requisitos previos</w:t>
      </w:r>
    </w:p>
    <w:p w14:paraId="4B562DD1" w14:textId="77777777" w:rsidR="006A4DD4" w:rsidRPr="00484260" w:rsidRDefault="00000000">
      <w:pPr>
        <w:pStyle w:val="Listaconvietas"/>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Equipo con Windows compatible y permisos de administrador.</w:t>
      </w:r>
    </w:p>
    <w:p w14:paraId="4428916E" w14:textId="77777777" w:rsidR="006A4DD4" w:rsidRPr="00484260" w:rsidRDefault="00000000">
      <w:pPr>
        <w:pStyle w:val="Listaconvietas"/>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Conexión a Internet para descargar los componentes necesarios.</w:t>
      </w:r>
    </w:p>
    <w:p w14:paraId="635FEF04" w14:textId="77777777" w:rsidR="006A4DD4" w:rsidRPr="00484260" w:rsidRDefault="00000000">
      <w:pPr>
        <w:pStyle w:val="Listaconvietas"/>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Espacio disponible en disco y memoria suficiente para el instalador.</w:t>
      </w:r>
    </w:p>
    <w:p w14:paraId="72616649" w14:textId="77777777" w:rsidR="006A4DD4" w:rsidRPr="00484260" w:rsidRDefault="00000000">
      <w:pPr>
        <w:pStyle w:val="Listaconvietas"/>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Leer las condiciones de uso de la edición seleccionada. Developer está destinada al desarrollo, pruebas y aprendizaje, no al uso productivo.</w:t>
      </w:r>
    </w:p>
    <w:p w14:paraId="1D9DE5B3" w14:textId="77777777" w:rsidR="006A4DD4" w:rsidRPr="00484260" w:rsidRDefault="00000000">
      <w:pPr>
        <w:pStyle w:val="Ttulo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Procedimiento de instalación paso a paso</w:t>
      </w:r>
    </w:p>
    <w:p w14:paraId="4D81BC26"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Siga las indicaciones en orden y espere a que cada proceso termine antes de continuar.</w:t>
      </w:r>
    </w:p>
    <w:p w14:paraId="051BD985"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 Descargar SQL Server 2025</w:t>
      </w:r>
    </w:p>
    <w:p w14:paraId="18748362"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la página oficial de Microsoft, ubique SQL Server 2025 y seleccione la opción de descarga correspondiente. Utilice preferentemente el sitio oficial para evitar instaladores modificados.</w:t>
      </w:r>
    </w:p>
    <w:p w14:paraId="48E105B1"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AA009F0" wp14:editId="1F45CA20">
            <wp:extent cx="4921565" cy="61759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01.png"/>
                    <pic:cNvPicPr/>
                  </pic:nvPicPr>
                  <pic:blipFill>
                    <a:blip r:embed="rId8"/>
                    <a:stretch>
                      <a:fillRect/>
                    </a:stretch>
                  </pic:blipFill>
                  <pic:spPr>
                    <a:xfrm>
                      <a:off x="0" y="0"/>
                      <a:ext cx="4927741" cy="6183697"/>
                    </a:xfrm>
                    <a:prstGeom prst="rect">
                      <a:avLst/>
                    </a:prstGeom>
                  </pic:spPr>
                </pic:pic>
              </a:graphicData>
            </a:graphic>
          </wp:inline>
        </w:drawing>
      </w:r>
    </w:p>
    <w:p w14:paraId="7BA42EE3"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1. Captura de referencia del procedimiento.</w:t>
      </w:r>
    </w:p>
    <w:p w14:paraId="64A7C7A1"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2. Seleccionar el tipo de instalación</w:t>
      </w:r>
    </w:p>
    <w:p w14:paraId="13A24D6C"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la pantalla inicial del instalador aparecen opciones como Basic, Custom y Download Media. En las capturas se elige Custom, que permite revisar y configurar los componentes antes de instalarlos.</w:t>
      </w:r>
    </w:p>
    <w:p w14:paraId="5480EB38"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C47A850" wp14:editId="6410F6A7">
            <wp:extent cx="5486400" cy="68847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01.png"/>
                    <pic:cNvPicPr/>
                  </pic:nvPicPr>
                  <pic:blipFill>
                    <a:blip r:embed="rId8"/>
                    <a:stretch>
                      <a:fillRect/>
                    </a:stretch>
                  </pic:blipFill>
                  <pic:spPr>
                    <a:xfrm>
                      <a:off x="0" y="0"/>
                      <a:ext cx="5486400" cy="6884744"/>
                    </a:xfrm>
                    <a:prstGeom prst="rect">
                      <a:avLst/>
                    </a:prstGeom>
                  </pic:spPr>
                </pic:pic>
              </a:graphicData>
            </a:graphic>
          </wp:inline>
        </w:drawing>
      </w:r>
    </w:p>
    <w:p w14:paraId="70CCAC04"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2. Captura de referencia del procedimiento.</w:t>
      </w:r>
    </w:p>
    <w:p w14:paraId="76F00C23"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3. Elegir la edición Developer</w:t>
      </w:r>
    </w:p>
    <w:p w14:paraId="720E9020"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Compruebe que la edición seleccionada sea Developer. Esta edición permite practicar y desarrollar soluciones con SQL Server; no debe utilizarse como servidor de producción.</w:t>
      </w:r>
    </w:p>
    <w:p w14:paraId="33BC0DBE"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9D34C97" wp14:editId="3A2E3A96">
            <wp:extent cx="5486400" cy="44319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02.png"/>
                    <pic:cNvPicPr/>
                  </pic:nvPicPr>
                  <pic:blipFill>
                    <a:blip r:embed="rId9"/>
                    <a:stretch>
                      <a:fillRect/>
                    </a:stretch>
                  </pic:blipFill>
                  <pic:spPr>
                    <a:xfrm>
                      <a:off x="0" y="0"/>
                      <a:ext cx="5486400" cy="4431911"/>
                    </a:xfrm>
                    <a:prstGeom prst="rect">
                      <a:avLst/>
                    </a:prstGeom>
                  </pic:spPr>
                </pic:pic>
              </a:graphicData>
            </a:graphic>
          </wp:inline>
        </w:drawing>
      </w:r>
    </w:p>
    <w:p w14:paraId="5067FE13"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3. Captura de referencia del procedimiento.</w:t>
      </w:r>
    </w:p>
    <w:p w14:paraId="408B06C1"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4. Esperar la descarga del paquete</w:t>
      </w:r>
    </w:p>
    <w:p w14:paraId="308EEA83"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instalador descarga los archivos necesarios. Mantenga la conexión a Internet activa y no cierre la ventana mientras se completa la operación.</w:t>
      </w:r>
    </w:p>
    <w:p w14:paraId="75C7799B"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A8A5E8B" wp14:editId="4959AA00">
            <wp:extent cx="5486400" cy="44013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03.png"/>
                    <pic:cNvPicPr/>
                  </pic:nvPicPr>
                  <pic:blipFill>
                    <a:blip r:embed="rId10"/>
                    <a:stretch>
                      <a:fillRect/>
                    </a:stretch>
                  </pic:blipFill>
                  <pic:spPr>
                    <a:xfrm>
                      <a:off x="0" y="0"/>
                      <a:ext cx="5486400" cy="4401346"/>
                    </a:xfrm>
                    <a:prstGeom prst="rect">
                      <a:avLst/>
                    </a:prstGeom>
                  </pic:spPr>
                </pic:pic>
              </a:graphicData>
            </a:graphic>
          </wp:inline>
        </w:drawing>
      </w:r>
    </w:p>
    <w:p w14:paraId="00911D3C"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4. Captura de referencia del procedimiento.</w:t>
      </w:r>
    </w:p>
    <w:p w14:paraId="5A1B25E4"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5. Abrir SQL Server Installation Center</w:t>
      </w:r>
    </w:p>
    <w:p w14:paraId="5E898447"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terminar la descarga, se abre el Centro de instalación de SQL Server. En la sección Installation se encuentran las opciones para instalar una instancia nueva o agregar características.</w:t>
      </w:r>
    </w:p>
    <w:p w14:paraId="5CA48509"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FDBA1FD" wp14:editId="77E20E2B">
            <wp:extent cx="5486400" cy="81761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04.png"/>
                    <pic:cNvPicPr/>
                  </pic:nvPicPr>
                  <pic:blipFill>
                    <a:blip r:embed="rId11"/>
                    <a:stretch>
                      <a:fillRect/>
                    </a:stretch>
                  </pic:blipFill>
                  <pic:spPr>
                    <a:xfrm>
                      <a:off x="0" y="0"/>
                      <a:ext cx="5486400" cy="8176111"/>
                    </a:xfrm>
                    <a:prstGeom prst="rect">
                      <a:avLst/>
                    </a:prstGeom>
                  </pic:spPr>
                </pic:pic>
              </a:graphicData>
            </a:graphic>
          </wp:inline>
        </w:drawing>
      </w:r>
    </w:p>
    <w:p w14:paraId="2E90A408"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5. Captura de referencia del procedimiento.</w:t>
      </w:r>
    </w:p>
    <w:p w14:paraId="7DF180BF"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Paso 6. Iniciar una nueva instalación</w:t>
      </w:r>
    </w:p>
    <w:p w14:paraId="34E52848"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Seleccione “New SQL Server stand-alone installation or add features to an existing installation”. Esta opción inicia el asistente para instalar SQL Server en el equipo.</w:t>
      </w:r>
    </w:p>
    <w:p w14:paraId="56472699"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6468EB8" wp14:editId="4BDDEF80">
            <wp:extent cx="5486400" cy="4286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05.png"/>
                    <pic:cNvPicPr/>
                  </pic:nvPicPr>
                  <pic:blipFill>
                    <a:blip r:embed="rId12"/>
                    <a:stretch>
                      <a:fillRect/>
                    </a:stretch>
                  </pic:blipFill>
                  <pic:spPr>
                    <a:xfrm>
                      <a:off x="0" y="0"/>
                      <a:ext cx="5486400" cy="4286975"/>
                    </a:xfrm>
                    <a:prstGeom prst="rect">
                      <a:avLst/>
                    </a:prstGeom>
                  </pic:spPr>
                </pic:pic>
              </a:graphicData>
            </a:graphic>
          </wp:inline>
        </w:drawing>
      </w:r>
    </w:p>
    <w:p w14:paraId="02A0B0A0"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6. Captura de referencia del procedimiento.</w:t>
      </w:r>
    </w:p>
    <w:p w14:paraId="69A492F5"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7. Esperar la preparación del asistente</w:t>
      </w:r>
    </w:p>
    <w:p w14:paraId="69A6C0FB"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programa puede mostrar un mensaje indicando que está procesando la operación actual. Espere hasta que desaparezca y aparezca la siguiente pantalla.</w:t>
      </w:r>
    </w:p>
    <w:p w14:paraId="3D465751"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C39E65B" wp14:editId="7446F743">
            <wp:extent cx="5486400" cy="48598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06.png"/>
                    <pic:cNvPicPr/>
                  </pic:nvPicPr>
                  <pic:blipFill>
                    <a:blip r:embed="rId13"/>
                    <a:stretch>
                      <a:fillRect/>
                    </a:stretch>
                  </pic:blipFill>
                  <pic:spPr>
                    <a:xfrm>
                      <a:off x="0" y="0"/>
                      <a:ext cx="5486400" cy="4859819"/>
                    </a:xfrm>
                    <a:prstGeom prst="rect">
                      <a:avLst/>
                    </a:prstGeom>
                  </pic:spPr>
                </pic:pic>
              </a:graphicData>
            </a:graphic>
          </wp:inline>
        </w:drawing>
      </w:r>
    </w:p>
    <w:p w14:paraId="4E909B1D"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7. Captura de referencia del procedimiento.</w:t>
      </w:r>
    </w:p>
    <w:p w14:paraId="1C9B7577"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8. Revisar el tipo de instalación</w:t>
      </w:r>
    </w:p>
    <w:p w14:paraId="12F6061D"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la pantalla Installation Type, seleccione la opción para realizar una nueva instalación independiente, salvo que el objetivo sea agregar características a una instancia ya existente.</w:t>
      </w:r>
    </w:p>
    <w:p w14:paraId="03553CA3"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188CD1C" wp14:editId="58318A1B">
            <wp:extent cx="5486400" cy="48063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07.png"/>
                    <pic:cNvPicPr/>
                  </pic:nvPicPr>
                  <pic:blipFill>
                    <a:blip r:embed="rId14"/>
                    <a:stretch>
                      <a:fillRect/>
                    </a:stretch>
                  </pic:blipFill>
                  <pic:spPr>
                    <a:xfrm>
                      <a:off x="0" y="0"/>
                      <a:ext cx="5486400" cy="4806331"/>
                    </a:xfrm>
                    <a:prstGeom prst="rect">
                      <a:avLst/>
                    </a:prstGeom>
                  </pic:spPr>
                </pic:pic>
              </a:graphicData>
            </a:graphic>
          </wp:inline>
        </w:drawing>
      </w:r>
    </w:p>
    <w:p w14:paraId="7803F23B"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8. Captura de referencia del procedimiento.</w:t>
      </w:r>
    </w:p>
    <w:p w14:paraId="4A70CA68"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9. Seleccionar la edición</w:t>
      </w:r>
    </w:p>
    <w:p w14:paraId="6411C3D5"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Revise la edición que se instalará y confirme que corresponde a Developer, según el procedimiento de las capturas. Continúe únicamente cuando la selección sea correcta.</w:t>
      </w:r>
    </w:p>
    <w:p w14:paraId="1892AA3B"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F8C0CF7" wp14:editId="3ADA53CC">
            <wp:extent cx="5486400" cy="48216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08.png"/>
                    <pic:cNvPicPr/>
                  </pic:nvPicPr>
                  <pic:blipFill>
                    <a:blip r:embed="rId15"/>
                    <a:stretch>
                      <a:fillRect/>
                    </a:stretch>
                  </pic:blipFill>
                  <pic:spPr>
                    <a:xfrm>
                      <a:off x="0" y="0"/>
                      <a:ext cx="5486400" cy="4821613"/>
                    </a:xfrm>
                    <a:prstGeom prst="rect">
                      <a:avLst/>
                    </a:prstGeom>
                  </pic:spPr>
                </pic:pic>
              </a:graphicData>
            </a:graphic>
          </wp:inline>
        </w:drawing>
      </w:r>
    </w:p>
    <w:p w14:paraId="4D9969D5"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9. Captura de referencia del procedimiento.</w:t>
      </w:r>
    </w:p>
    <w:p w14:paraId="117DE666"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10. Aceptar los términos de licencia</w:t>
      </w:r>
    </w:p>
    <w:p w14:paraId="25FC9E9D"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 los términos de licencia y marque la casilla de aceptación si está de acuerdo. La instalación no debe continuar si no se aceptan las condiciones aplicables.</w:t>
      </w:r>
    </w:p>
    <w:p w14:paraId="675DB26B"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4CD7A85" wp14:editId="39E2301C">
            <wp:extent cx="5486400" cy="48827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09.png"/>
                    <pic:cNvPicPr/>
                  </pic:nvPicPr>
                  <pic:blipFill>
                    <a:blip r:embed="rId16"/>
                    <a:stretch>
                      <a:fillRect/>
                    </a:stretch>
                  </pic:blipFill>
                  <pic:spPr>
                    <a:xfrm>
                      <a:off x="0" y="0"/>
                      <a:ext cx="5486400" cy="4882743"/>
                    </a:xfrm>
                    <a:prstGeom prst="rect">
                      <a:avLst/>
                    </a:prstGeom>
                  </pic:spPr>
                </pic:pic>
              </a:graphicData>
            </a:graphic>
          </wp:inline>
        </w:drawing>
      </w:r>
    </w:p>
    <w:p w14:paraId="1092945B"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10. Captura de referencia del procedimiento.</w:t>
      </w:r>
    </w:p>
    <w:p w14:paraId="62522699"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11. Revisar las actualizaciones</w:t>
      </w:r>
    </w:p>
    <w:p w14:paraId="049F96A0"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asistente puede comprobar actualizaciones o componentes disponibles. Permita que termine la verificación y continúe cuando el botón correspondiente esté habilitado.</w:t>
      </w:r>
    </w:p>
    <w:p w14:paraId="79621FD5"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55C7C50" wp14:editId="3819D03F">
            <wp:extent cx="5486400" cy="48445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10.png"/>
                    <pic:cNvPicPr/>
                  </pic:nvPicPr>
                  <pic:blipFill>
                    <a:blip r:embed="rId17"/>
                    <a:stretch>
                      <a:fillRect/>
                    </a:stretch>
                  </pic:blipFill>
                  <pic:spPr>
                    <a:xfrm>
                      <a:off x="0" y="0"/>
                      <a:ext cx="5486400" cy="4844537"/>
                    </a:xfrm>
                    <a:prstGeom prst="rect">
                      <a:avLst/>
                    </a:prstGeom>
                  </pic:spPr>
                </pic:pic>
              </a:graphicData>
            </a:graphic>
          </wp:inline>
        </w:drawing>
      </w:r>
    </w:p>
    <w:p w14:paraId="446C38EC"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11. Captura de referencia del procedimiento.</w:t>
      </w:r>
    </w:p>
    <w:p w14:paraId="06D08A08"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12. Comprobar reglas de instalación</w:t>
      </w:r>
    </w:p>
    <w:p w14:paraId="094C15A6"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pantalla de reglas verifica condiciones que podrían impedir la instalación. Revise los resultados y atienda cualquier advertencia o error antes de continuar.</w:t>
      </w:r>
    </w:p>
    <w:p w14:paraId="46E73262"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156C9CB" wp14:editId="09884079">
            <wp:extent cx="5486400" cy="48368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11.png"/>
                    <pic:cNvPicPr/>
                  </pic:nvPicPr>
                  <pic:blipFill>
                    <a:blip r:embed="rId18"/>
                    <a:stretch>
                      <a:fillRect/>
                    </a:stretch>
                  </pic:blipFill>
                  <pic:spPr>
                    <a:xfrm>
                      <a:off x="0" y="0"/>
                      <a:ext cx="5486400" cy="4836895"/>
                    </a:xfrm>
                    <a:prstGeom prst="rect">
                      <a:avLst/>
                    </a:prstGeom>
                  </pic:spPr>
                </pic:pic>
              </a:graphicData>
            </a:graphic>
          </wp:inline>
        </w:drawing>
      </w:r>
    </w:p>
    <w:p w14:paraId="2E84B278"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12. Captura de referencia del procedimiento.</w:t>
      </w:r>
    </w:p>
    <w:p w14:paraId="33BF6968"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13. Seleccionar características</w:t>
      </w:r>
    </w:p>
    <w:p w14:paraId="513B7D04"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Feature Selection se eligen los componentes que se instalarán. Para una instalación básica del motor de base de datos, compruebe que “Database Engine Services” esté seleccionado. No marque componentes que no necesite.</w:t>
      </w:r>
    </w:p>
    <w:p w14:paraId="7237F22B"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B1E1F9F" wp14:editId="5DB00368">
            <wp:extent cx="5486400" cy="48216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12.png"/>
                    <pic:cNvPicPr/>
                  </pic:nvPicPr>
                  <pic:blipFill>
                    <a:blip r:embed="rId19"/>
                    <a:stretch>
                      <a:fillRect/>
                    </a:stretch>
                  </pic:blipFill>
                  <pic:spPr>
                    <a:xfrm>
                      <a:off x="0" y="0"/>
                      <a:ext cx="5486400" cy="4821613"/>
                    </a:xfrm>
                    <a:prstGeom prst="rect">
                      <a:avLst/>
                    </a:prstGeom>
                  </pic:spPr>
                </pic:pic>
              </a:graphicData>
            </a:graphic>
          </wp:inline>
        </w:drawing>
      </w:r>
    </w:p>
    <w:p w14:paraId="67525527"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13. Captura de referencia del procedimiento.</w:t>
      </w:r>
    </w:p>
    <w:p w14:paraId="5C99AAFC"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14. Configurar la instancia</w:t>
      </w:r>
    </w:p>
    <w:p w14:paraId="0E415C04"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Instance Configuration, elija una instancia predeterminada o asigne un nombre a una instancia con nombre. Si no existe una razón específica para cambiarlo, puede mantener la configuración predeterminada sugerida por el asistente.</w:t>
      </w:r>
    </w:p>
    <w:p w14:paraId="7C73D074"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47F9528" wp14:editId="6D89FA58">
            <wp:extent cx="5486400" cy="48445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13.png"/>
                    <pic:cNvPicPr/>
                  </pic:nvPicPr>
                  <pic:blipFill>
                    <a:blip r:embed="rId20"/>
                    <a:stretch>
                      <a:fillRect/>
                    </a:stretch>
                  </pic:blipFill>
                  <pic:spPr>
                    <a:xfrm>
                      <a:off x="0" y="0"/>
                      <a:ext cx="5486400" cy="4844537"/>
                    </a:xfrm>
                    <a:prstGeom prst="rect">
                      <a:avLst/>
                    </a:prstGeom>
                  </pic:spPr>
                </pic:pic>
              </a:graphicData>
            </a:graphic>
          </wp:inline>
        </w:drawing>
      </w:r>
    </w:p>
    <w:p w14:paraId="0210EB87"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14. Captura de referencia del procedimiento.</w:t>
      </w:r>
    </w:p>
    <w:p w14:paraId="5E285768"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15. Revisar requisitos de espacio</w:t>
      </w:r>
    </w:p>
    <w:p w14:paraId="4CAE27EB"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asistente muestra información sobre el espacio requerido y las ubicaciones de instalación. Verifique que la unidad seleccionada tenga espacio suficiente antes de continuar.</w:t>
      </w:r>
    </w:p>
    <w:p w14:paraId="503E4BDF"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155E180" wp14:editId="36B8DC1E">
            <wp:extent cx="5486400" cy="487510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14.png"/>
                    <pic:cNvPicPr/>
                  </pic:nvPicPr>
                  <pic:blipFill>
                    <a:blip r:embed="rId21"/>
                    <a:stretch>
                      <a:fillRect/>
                    </a:stretch>
                  </pic:blipFill>
                  <pic:spPr>
                    <a:xfrm>
                      <a:off x="0" y="0"/>
                      <a:ext cx="5486400" cy="4875102"/>
                    </a:xfrm>
                    <a:prstGeom prst="rect">
                      <a:avLst/>
                    </a:prstGeom>
                  </pic:spPr>
                </pic:pic>
              </a:graphicData>
            </a:graphic>
          </wp:inline>
        </w:drawing>
      </w:r>
    </w:p>
    <w:p w14:paraId="00F17A44"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15. Captura de referencia del procedimiento.</w:t>
      </w:r>
    </w:p>
    <w:p w14:paraId="4AEC246C"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16. Configurar el servidor</w:t>
      </w:r>
    </w:p>
    <w:p w14:paraId="603E1308"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Server Configuration se definen las cuentas de servicio y sus permisos. Para un entorno de aprendizaje, conserve los valores recomendados por el instalador, salvo que el administrador haya indicado una configuración diferente.</w:t>
      </w:r>
    </w:p>
    <w:p w14:paraId="486D105E"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CE144F6" wp14:editId="191F77F2">
            <wp:extent cx="5486400" cy="48598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15.png"/>
                    <pic:cNvPicPr/>
                  </pic:nvPicPr>
                  <pic:blipFill>
                    <a:blip r:embed="rId22"/>
                    <a:stretch>
                      <a:fillRect/>
                    </a:stretch>
                  </pic:blipFill>
                  <pic:spPr>
                    <a:xfrm>
                      <a:off x="0" y="0"/>
                      <a:ext cx="5486400" cy="4859819"/>
                    </a:xfrm>
                    <a:prstGeom prst="rect">
                      <a:avLst/>
                    </a:prstGeom>
                  </pic:spPr>
                </pic:pic>
              </a:graphicData>
            </a:graphic>
          </wp:inline>
        </w:drawing>
      </w:r>
    </w:p>
    <w:p w14:paraId="1B19C6A9"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16. Captura de referencia del procedimiento.</w:t>
      </w:r>
    </w:p>
    <w:p w14:paraId="46E6F312"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17. Configurar el motor de base de datos</w:t>
      </w:r>
    </w:p>
    <w:p w14:paraId="2507E3CA"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Database Engine Configuration se establece el modo de autenticación y se configuran los administradores de SQL Server. Agregue la cuenta de Windows del usuario que administrará la instancia. Si se elige autenticación mixta, establezca una contraseña segura para el usuario sa y guárdela de forma protegida.</w:t>
      </w:r>
    </w:p>
    <w:p w14:paraId="3ABA8597"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7494C03" wp14:editId="01F60BC6">
            <wp:extent cx="5486400" cy="47986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16.png"/>
                    <pic:cNvPicPr/>
                  </pic:nvPicPr>
                  <pic:blipFill>
                    <a:blip r:embed="rId23"/>
                    <a:stretch>
                      <a:fillRect/>
                    </a:stretch>
                  </pic:blipFill>
                  <pic:spPr>
                    <a:xfrm>
                      <a:off x="0" y="0"/>
                      <a:ext cx="5486400" cy="4798689"/>
                    </a:xfrm>
                    <a:prstGeom prst="rect">
                      <a:avLst/>
                    </a:prstGeom>
                  </pic:spPr>
                </pic:pic>
              </a:graphicData>
            </a:graphic>
          </wp:inline>
        </w:drawing>
      </w:r>
    </w:p>
    <w:p w14:paraId="20A3B717"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17. Captura de referencia del procedimiento.</w:t>
      </w:r>
    </w:p>
    <w:p w14:paraId="43B3C0E7"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18. Revisar las características seleccionadas</w:t>
      </w:r>
    </w:p>
    <w:p w14:paraId="61FC25B3"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Antes de iniciar la copia de archivos, revise el resumen de características y los parámetros configurados. Si detecta un dato incorrecto, vuelva a la pantalla correspondiente y corríjalo.</w:t>
      </w:r>
    </w:p>
    <w:p w14:paraId="213F1E51"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72E67FF" wp14:editId="2A587CE7">
            <wp:extent cx="5486400" cy="48292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17.png"/>
                    <pic:cNvPicPr/>
                  </pic:nvPicPr>
                  <pic:blipFill>
                    <a:blip r:embed="rId24"/>
                    <a:stretch>
                      <a:fillRect/>
                    </a:stretch>
                  </pic:blipFill>
                  <pic:spPr>
                    <a:xfrm>
                      <a:off x="0" y="0"/>
                      <a:ext cx="5486400" cy="4829255"/>
                    </a:xfrm>
                    <a:prstGeom prst="rect">
                      <a:avLst/>
                    </a:prstGeom>
                  </pic:spPr>
                </pic:pic>
              </a:graphicData>
            </a:graphic>
          </wp:inline>
        </w:drawing>
      </w:r>
    </w:p>
    <w:p w14:paraId="0D7ADE8C"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18. Captura de referencia del procedimiento.</w:t>
      </w:r>
    </w:p>
    <w:p w14:paraId="3DB86186"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19. Ejecutar la instalación</w:t>
      </w:r>
    </w:p>
    <w:p w14:paraId="65822227"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Pulse Install para iniciar el proceso. La barra de progreso indica el avance de cada componente. No apague el equipo ni cierre el asistente durante esta etapa.</w:t>
      </w:r>
    </w:p>
    <w:p w14:paraId="4C650F27"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FBC7D8A" wp14:editId="1D28E5E3">
            <wp:extent cx="5486400" cy="48521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18.png"/>
                    <pic:cNvPicPr/>
                  </pic:nvPicPr>
                  <pic:blipFill>
                    <a:blip r:embed="rId25"/>
                    <a:stretch>
                      <a:fillRect/>
                    </a:stretch>
                  </pic:blipFill>
                  <pic:spPr>
                    <a:xfrm>
                      <a:off x="0" y="0"/>
                      <a:ext cx="5486400" cy="4852178"/>
                    </a:xfrm>
                    <a:prstGeom prst="rect">
                      <a:avLst/>
                    </a:prstGeom>
                  </pic:spPr>
                </pic:pic>
              </a:graphicData>
            </a:graphic>
          </wp:inline>
        </w:drawing>
      </w:r>
    </w:p>
    <w:p w14:paraId="5C0334F7"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19. Captura de referencia del procedimiento.</w:t>
      </w:r>
    </w:p>
    <w:p w14:paraId="0213D3DB" w14:textId="77777777" w:rsidR="006A4DD4" w:rsidRPr="00484260" w:rsidRDefault="00000000">
      <w:pPr>
        <w:pStyle w:val="Ttulo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Paso 20. Confirmar la finalización</w:t>
      </w:r>
    </w:p>
    <w:p w14:paraId="4DB33028"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pantalla final presenta el estado de los componentes instalados. Compruebe que los elementos requeridos aparezcan como completados y cierre el asistente con el botón indicado.</w:t>
      </w:r>
    </w:p>
    <w:p w14:paraId="6E4B3FD4"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4507E545" wp14:editId="5AF35D8F">
            <wp:extent cx="5486400" cy="48521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ina_19.png"/>
                    <pic:cNvPicPr/>
                  </pic:nvPicPr>
                  <pic:blipFill>
                    <a:blip r:embed="rId26"/>
                    <a:stretch>
                      <a:fillRect/>
                    </a:stretch>
                  </pic:blipFill>
                  <pic:spPr>
                    <a:xfrm>
                      <a:off x="0" y="0"/>
                      <a:ext cx="5486400" cy="4852178"/>
                    </a:xfrm>
                    <a:prstGeom prst="rect">
                      <a:avLst/>
                    </a:prstGeom>
                  </pic:spPr>
                </pic:pic>
              </a:graphicData>
            </a:graphic>
          </wp:inline>
        </w:drawing>
      </w:r>
    </w:p>
    <w:p w14:paraId="57DC9BEE" w14:textId="77777777" w:rsidR="006A4DD4" w:rsidRPr="00484260" w:rsidRDefault="00000000">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20. Captura de referencia del procedimiento.</w:t>
      </w:r>
    </w:p>
    <w:p w14:paraId="4556D34D" w14:textId="77777777" w:rsidR="006A4DD4" w:rsidRPr="00484260" w:rsidRDefault="00000000">
      <w:pPr>
        <w:pStyle w:val="Ttulo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Verificación posterior a la instalación</w:t>
      </w:r>
    </w:p>
    <w:p w14:paraId="2EF502A5"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 vez finalizado el asistente, verifique que el motor de SQL Server esté instalado. Si también necesita una interfaz gráfica para administrar bases de datos, puede instalar SQL Server Management Studio (SSMS) desde el enlace oficial indicado por el Centro de instalación; SSMS es una herramienta separada del motor de SQL Server.</w:t>
      </w:r>
    </w:p>
    <w:p w14:paraId="08734D56" w14:textId="77777777" w:rsidR="006A4DD4" w:rsidRPr="00484260" w:rsidRDefault="00000000">
      <w:pPr>
        <w:pStyle w:val="Listaconvietas"/>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Abra SQL Server Configuration Manager o Servicios de Windows y compruebe el estado del servicio de la instancia instalada.</w:t>
      </w:r>
    </w:p>
    <w:p w14:paraId="4A6A841B" w14:textId="77777777" w:rsidR="006A4DD4" w:rsidRPr="00484260" w:rsidRDefault="00000000">
      <w:pPr>
        <w:pStyle w:val="Listaconvietas"/>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 utiliza SSMS, conéctese al nombre de servidor correspondiente (por ejemplo, el nombre del equipo o .\SQLEXPRESS, solo si esa fue la instancia instalada).</w:t>
      </w:r>
    </w:p>
    <w:p w14:paraId="735ACB8F" w14:textId="77777777" w:rsidR="006A4DD4" w:rsidRPr="00484260" w:rsidRDefault="00000000">
      <w:pPr>
        <w:pStyle w:val="Listaconvietas"/>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Seleccione el método de autenticación que configuró durante la instalación.</w:t>
      </w:r>
    </w:p>
    <w:p w14:paraId="7D401F49" w14:textId="77777777" w:rsidR="006A4DD4" w:rsidRPr="00484260" w:rsidRDefault="00000000">
      <w:pPr>
        <w:pStyle w:val="Listaconvietas"/>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Cree una base de datos de prueba y ejecute una consulta sencilla para validar la conexión.</w:t>
      </w:r>
    </w:p>
    <w:p w14:paraId="1FFD3AEB" w14:textId="77777777" w:rsidR="006A4DD4" w:rsidRPr="00484260" w:rsidRDefault="00000000">
      <w:pPr>
        <w:pStyle w:val="Ttulo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Problemas frecuentes y recomendaciones</w:t>
      </w:r>
    </w:p>
    <w:p w14:paraId="50CA058A"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instalador no continúa: Revise los mensajes de error, los permisos de administrador, el espacio en disco y los requisitos previos indicados por el asistente.</w:t>
      </w:r>
    </w:p>
    <w:p w14:paraId="71435380"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No se puede conectar al servidor: Confirme que el servicio de SQL Server esté iniciado y que el nombre de la instancia coincida con el configurado durante la instalación.</w:t>
      </w:r>
    </w:p>
    <w:p w14:paraId="3EE74392"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recuerda la contraseña: Si configuró autenticación SQL, utilice un método de recuperación autorizado por el administrador. No comparta contraseñas ni las escriba en documentos públicos.</w:t>
      </w:r>
    </w:p>
    <w:p w14:paraId="49180B6F"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Necesita una interfaz gráfica: Instale SQL Server Management Studio (SSMS) desde la fuente oficial de Microsoft; no debe confundirse con el motor de base de datos.</w:t>
      </w:r>
    </w:p>
    <w:p w14:paraId="3A7B8188" w14:textId="77777777" w:rsidR="006A4DD4" w:rsidRPr="00484260" w:rsidRDefault="00000000">
      <w:pPr>
        <w:pStyle w:val="Ttulo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Conclusiones</w:t>
      </w:r>
    </w:p>
    <w:p w14:paraId="2F2520F0"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 instalación de SQL Server se realiza mediante un asistente que permite seleccionar la edición, las características, el tipo de instancia y los parámetros de configuración. Seguir cada pantalla en orden ayuda a reducir errores y facilita la puesta en marcha del motor de base de datos.</w:t>
      </w:r>
    </w:p>
    <w:p w14:paraId="3E6D6B8F" w14:textId="77777777" w:rsidR="006A4DD4" w:rsidRPr="00484260" w:rsidRDefault="00000000">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42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 importante revisar las reglas del sistema, configurar correctamente los administradores y verificar el servicio después de la instalación. Para el aprendizaje, la edición Developer ofrece un entorno adecuado de desarrollo y pruebas, siempre respetando sus condiciones de licencia.</w:t>
      </w:r>
    </w:p>
    <w:p w14:paraId="2B59445A" w14:textId="5367FD7F" w:rsidR="006A4DD4" w:rsidRPr="00484260" w:rsidRDefault="006A4DD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6A4DD4" w:rsidRPr="00484260" w:rsidSect="00850C04">
      <w:headerReference w:type="default" r:id="rId27"/>
      <w:footerReference w:type="default" r:id="rId2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FD5EB" w14:textId="77777777" w:rsidR="00850C04" w:rsidRDefault="00850C04">
      <w:pPr>
        <w:spacing w:after="0" w:line="240" w:lineRule="auto"/>
      </w:pPr>
      <w:r>
        <w:separator/>
      </w:r>
    </w:p>
  </w:endnote>
  <w:endnote w:type="continuationSeparator" w:id="0">
    <w:p w14:paraId="5A96F6FB" w14:textId="77777777" w:rsidR="00850C04" w:rsidRDefault="00850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AC57A" w14:textId="77777777" w:rsidR="006A4DD4" w:rsidRDefault="00000000">
    <w:pPr>
      <w:pStyle w:val="Piedepgina"/>
      <w:jc w:val="center"/>
    </w:pPr>
    <w:r>
      <w:rPr>
        <w:sz w:val="16"/>
      </w:rPr>
      <w:t>Manual práctico de instalación | SQL Server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67F79" w14:textId="77777777" w:rsidR="00850C04" w:rsidRDefault="00850C04">
      <w:pPr>
        <w:spacing w:after="0" w:line="240" w:lineRule="auto"/>
      </w:pPr>
      <w:r>
        <w:separator/>
      </w:r>
    </w:p>
  </w:footnote>
  <w:footnote w:type="continuationSeparator" w:id="0">
    <w:p w14:paraId="6294B263" w14:textId="77777777" w:rsidR="00850C04" w:rsidRDefault="00850C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28F62" w14:textId="77777777" w:rsidR="006A4DD4" w:rsidRDefault="00000000">
    <w:pPr>
      <w:pStyle w:val="Encabezado"/>
      <w:jc w:val="right"/>
    </w:pPr>
    <w:r>
      <w:rPr>
        <w:color w:val="646464"/>
        <w:sz w:val="16"/>
      </w:rPr>
      <w:t>MANUAL DE INSTALACIÓN DE MICROSOFT SQL SERVER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69531970">
    <w:abstractNumId w:val="8"/>
  </w:num>
  <w:num w:numId="2" w16cid:durableId="1041126580">
    <w:abstractNumId w:val="6"/>
  </w:num>
  <w:num w:numId="3" w16cid:durableId="1694769533">
    <w:abstractNumId w:val="5"/>
  </w:num>
  <w:num w:numId="4" w16cid:durableId="10569016">
    <w:abstractNumId w:val="4"/>
  </w:num>
  <w:num w:numId="5" w16cid:durableId="1179350490">
    <w:abstractNumId w:val="7"/>
  </w:num>
  <w:num w:numId="6" w16cid:durableId="806052021">
    <w:abstractNumId w:val="3"/>
  </w:num>
  <w:num w:numId="7" w16cid:durableId="696810662">
    <w:abstractNumId w:val="2"/>
  </w:num>
  <w:num w:numId="8" w16cid:durableId="1582059463">
    <w:abstractNumId w:val="1"/>
  </w:num>
  <w:num w:numId="9" w16cid:durableId="1343775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260"/>
    <w:rsid w:val="006A4DD4"/>
    <w:rsid w:val="00850C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C3246"/>
  <w14:defaultImageDpi w14:val="300"/>
  <w15:docId w15:val="{4F8259B2-5E8D-442D-878D-267FA6B5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1381</Words>
  <Characters>7598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de Microsoft SQL Server 2025</dc:title>
  <dc:subject>Guía paso a paso con capturas de pantalla</dc:subject>
  <dc:creator>python-docx</dc:creator>
  <cp:keywords/>
  <dc:description>generated by python-docx</dc:description>
  <cp:lastModifiedBy>ticaruth@outlook.com</cp:lastModifiedBy>
  <cp:revision>2</cp:revision>
  <dcterms:created xsi:type="dcterms:W3CDTF">2013-12-23T23:15:00Z</dcterms:created>
  <dcterms:modified xsi:type="dcterms:W3CDTF">2026-10-17T23:16:00Z</dcterms:modified>
  <cp:category/>
</cp:coreProperties>
</file>