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Especificaciones Técnicas y de Diseño UI/UX: HUD EcoAgua</w:t>
      </w:r>
    </w:p>
    <w:p>
      <w:pPr>
        <w:pStyle w:val="BodyText"/>
        <w:bidi w:val="0"/>
        <w:jc w:val="left"/>
        <w:rPr/>
      </w:pPr>
      <w:r>
        <w:rPr>
          <w:rStyle w:val="Strong"/>
        </w:rPr>
        <w:t>Proyecto:</w:t>
      </w:r>
      <w:r>
        <w:rPr/>
        <w:t xml:space="preserve"> EcoAgua</w:t>
        <w:br/>
      </w:r>
      <w:r>
        <w:rPr>
          <w:rStyle w:val="Strong"/>
        </w:rPr>
        <w:t>Motor:</w:t>
      </w:r>
      <w:r>
        <w:rPr/>
        <w:t xml:space="preserve"> Godot Engine 4 (Soporte PC, Web y VR/WebXR)</w:t>
        <w:br/>
      </w:r>
      <w:r>
        <w:rPr>
          <w:rStyle w:val="Strong"/>
        </w:rPr>
        <w:t>Objetivo:</w:t>
      </w:r>
      <w:r>
        <w:rPr/>
        <w:t xml:space="preserve"> Diseño del sistema de interfaz de usuario (HUD) para visualización de parámetros de calidad de agua por zonas.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Visión General del HUD</w:t>
      </w:r>
    </w:p>
    <w:p>
      <w:pPr>
        <w:pStyle w:val="BodyText"/>
        <w:bidi w:val="0"/>
        <w:jc w:val="left"/>
        <w:rPr/>
      </w:pPr>
      <w:r>
        <w:rPr/>
        <w:t xml:space="preserve">El HUD mostrará en tiempo real los parámetros físico-químicos y biológicos del agua según la zona del río en la que se encuentre la sonda o jugador. Dado que los parámetros </w:t>
      </w:r>
      <w:r>
        <w:rPr>
          <w:rStyle w:val="Strong"/>
        </w:rPr>
        <w:t>varían por zona</w:t>
      </w:r>
      <w:r>
        <w:rPr/>
        <w:t xml:space="preserve">, la interfaz debe ser </w:t>
      </w:r>
      <w:r>
        <w:rPr>
          <w:rStyle w:val="Strong"/>
        </w:rPr>
        <w:t>modular y dinámica</w:t>
      </w:r>
      <w:r>
        <w:rPr/>
        <w:t xml:space="preserve"> (mostrar u ocultar tarjetas/filas según los datos disponibles).</w:t>
      </w:r>
    </w:p>
    <w:p>
      <w:pPr>
        <w:pStyle w:val="Heading3"/>
        <w:bidi w:val="0"/>
        <w:jc w:val="left"/>
        <w:rPr/>
      </w:pPr>
      <w:r>
        <w:rPr/>
        <w:t>Estructura y Jerarquía Visual Sugerida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/>
        <w:jc w:val="left"/>
        <w:rPr/>
      </w:pPr>
      <w:r>
        <w:rPr>
          <w:rStyle w:val="Strong"/>
        </w:rPr>
        <w:t>Elemento Principal / Destacado: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>
          <w:rStyle w:val="Strong"/>
        </w:rPr>
        <w:t>Índice de Calidad del Agua (ICA):</w:t>
      </w:r>
      <w:r>
        <w:rPr/>
        <w:t xml:space="preserve"> Es el indicador global (valor numérico de 0 a 100). Debe ser el elemento visualmente más llamativo (por ejemplo: indicador circular tipo dona o tarjeta principal con código de color dinámico según la gravedad).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/>
        <w:jc w:val="left"/>
        <w:rPr/>
      </w:pPr>
      <w:r>
        <w:rPr>
          <w:rStyle w:val="Strong"/>
        </w:rPr>
        <w:t>Encabezado de Ubicación: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Indicador textual de la zona actual (ejemplo: </w:t>
      </w:r>
      <w:r>
        <w:rPr>
          <w:rStyle w:val="Emphasis"/>
        </w:rPr>
        <w:t>"Sonda de Medición - Zona 1"</w:t>
      </w:r>
      <w:r>
        <w:rPr/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/>
        <w:jc w:val="left"/>
        <w:rPr/>
      </w:pPr>
      <w:r>
        <w:rPr>
          <w:rStyle w:val="Strong"/>
        </w:rPr>
        <w:t>Panel de Parámetros Específicos: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868" w:leader="none"/>
        </w:tabs>
        <w:bidi w:val="0"/>
        <w:ind w:hanging="283" w:left="1868"/>
        <w:jc w:val="left"/>
        <w:rPr/>
      </w:pPr>
      <w:r>
        <w:rPr/>
        <w:t xml:space="preserve">Lista o grilla modular de tarjetas/filas compactas conteniendo: </w:t>
      </w:r>
      <w:r>
        <w:rPr>
          <w:rStyle w:val="SourceText"/>
        </w:rPr>
        <w:t>[Icono] [Nombre Parámetro] [Valor + Unidad]</w:t>
      </w:r>
      <w:r>
        <w:rPr/>
        <w:t xml:space="preserve">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Parámetros por Zona (Datos a Representar)</w:t>
      </w:r>
    </w:p>
    <w:tbl>
      <w:tblPr>
        <w:tblW w:w="81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1876"/>
        <w:gridCol w:w="1636"/>
        <w:gridCol w:w="1636"/>
        <w:gridCol w:w="1876"/>
      </w:tblGrid>
      <w:tr>
        <w:trPr>
          <w:tblHeader w:val="true"/>
        </w:trPr>
        <w:tc>
          <w:tcPr>
            <w:tcW w:w="1141" w:type="dxa"/>
            <w:tcBorders/>
            <w:vAlign w:val="center"/>
          </w:tcPr>
          <w:p>
            <w:pPr>
              <w:pStyle w:val="TableHeading"/>
              <w:suppressLineNumbers/>
              <w:shd w:fill="EBF5FB" w:val="clear"/>
              <w:bidi w:val="0"/>
              <w:spacing w:before="0" w:after="283"/>
              <w:jc w:val="left"/>
              <w:rPr/>
            </w:pPr>
            <w:r>
              <w:rPr/>
              <w:t>Zona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EBF5FB" w:val="clear"/>
              <w:bidi w:val="0"/>
              <w:spacing w:before="0" w:after="283"/>
              <w:jc w:val="left"/>
              <w:rPr/>
            </w:pPr>
            <w:r>
              <w:rPr/>
              <w:t>Parámetros a Mostrar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shd w:fill="EBF5FB" w:val="clear"/>
              <w:bidi w:val="0"/>
              <w:spacing w:before="0" w:after="283"/>
              <w:jc w:val="left"/>
              <w:rPr/>
            </w:pPr>
            <w:r>
              <w:rPr/>
              <w:t>Unidades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shd w:fill="EBF5FB" w:val="clear"/>
              <w:bidi w:val="0"/>
              <w:spacing w:before="0" w:after="283"/>
              <w:jc w:val="left"/>
              <w:rPr/>
            </w:pPr>
            <w:r>
              <w:rPr/>
              <w:t>Rango ICA Esperado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EBF5FB" w:val="clear"/>
              <w:bidi w:val="0"/>
              <w:spacing w:before="0" w:after="283"/>
              <w:jc w:val="left"/>
              <w:rPr/>
            </w:pPr>
            <w:r>
              <w:rPr/>
              <w:t>Estado / Color Sugerido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Zona 1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• </w:t>
            </w:r>
            <w:r>
              <w:rPr/>
              <w:t>Nitratos (NO3-)</w:t>
              <w:br/>
              <w:t>• Amonio (NH4+)</w:t>
              <w:br/>
              <w:t>• Fosfatos (PO43-)</w:t>
              <w:br/>
              <w:t>• Oxígeno Disuelto</w:t>
              <w:br/>
              <w:t>• ICA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mg/L</w:t>
              <w:br/>
              <w:t>mg/L</w:t>
              <w:br/>
              <w:t>mg/L</w:t>
              <w:br/>
              <w:t>ppm o mg/L</w:t>
              <w:br/>
              <w:t>Score (0-100)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ICA: 90 - 95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E8449"/>
              </w:rPr>
            </w:pPr>
            <w:r>
              <w:rPr>
                <w:b/>
                <w:color w:val="1E8449"/>
              </w:rPr>
              <w:t>Verde (Excelente)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Zona 2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• </w:t>
            </w:r>
            <w:r>
              <w:rPr/>
              <w:t>Nitratos (NO3-)</w:t>
              <w:br/>
              <w:t>• Fosfatos (PO43-)</w:t>
              <w:br/>
              <w:t>• Oxígeno Disuelto</w:t>
              <w:br/>
              <w:t>• ICA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mg/L</w:t>
              <w:br/>
              <w:t>mg/L</w:t>
              <w:br/>
              <w:t>ppm o mg/L</w:t>
              <w:br/>
              <w:t>Score (0-100)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ICA: 70 - 75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D4AC0D"/>
              </w:rPr>
            </w:pPr>
            <w:r>
              <w:rPr>
                <w:b/>
                <w:color w:val="D4AC0D"/>
              </w:rPr>
              <w:t>Verde Claro / Amarillo (Bueno)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Zona 3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• </w:t>
            </w:r>
            <w:r>
              <w:rPr/>
              <w:t>DBO (Demanda Bioquímica de Oxígeno)</w:t>
              <w:br/>
              <w:t>• Amonio (NH4+)</w:t>
              <w:br/>
              <w:t>• Coliformes Fecales</w:t>
              <w:br/>
              <w:t>• Oxígeno Disuelto</w:t>
              <w:br/>
              <w:t>• ICA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mg/L</w:t>
              <w:br/>
              <w:t>mg/L</w:t>
              <w:br/>
              <w:t>UFC / 100 mL</w:t>
              <w:br/>
              <w:t>ppm o mg/L</w:t>
              <w:br/>
              <w:t>Score (0-100)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ICA: 40 - 45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D35400"/>
              </w:rPr>
            </w:pPr>
            <w:r>
              <w:rPr>
                <w:b/>
                <w:color w:val="D35400"/>
              </w:rPr>
              <w:t>Naranja (Regular / Deficiente)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Zona 4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• </w:t>
            </w:r>
            <w:r>
              <w:rPr/>
              <w:t>DBO (Demanda Bioquímica de Oxígeno)</w:t>
              <w:br/>
              <w:t>• Amonio (NH4+)</w:t>
              <w:br/>
              <w:t>• Coliformes Fecales</w:t>
              <w:br/>
              <w:t>• Oxígeno Disuelto</w:t>
              <w:br/>
              <w:t>• Cromo (Cr)</w:t>
              <w:br/>
              <w:t>• ICA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mg/L</w:t>
              <w:br/>
              <w:t>mg/L</w:t>
              <w:br/>
              <w:t>UFC / 100 mL</w:t>
              <w:br/>
              <w:t>ppm o mg/L</w:t>
              <w:br/>
              <w:t>ug/L</w:t>
              <w:br/>
              <w:t>Score (0-100)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ICA: 10 - 20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C0392B"/>
              </w:rPr>
            </w:pPr>
            <w:r>
              <w:rPr>
                <w:b/>
                <w:color w:val="C0392B"/>
              </w:rPr>
              <w:t>Rojo / Púrpura (Muy Malo / Crítico)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Requerimientos de Assets y Formatos de Entrega</w:t>
      </w:r>
    </w:p>
    <w:p>
      <w:pPr>
        <w:pStyle w:val="BodyText"/>
        <w:bidi w:val="0"/>
        <w:jc w:val="left"/>
        <w:rPr/>
      </w:pPr>
      <w:r>
        <w:rPr/>
        <w:t xml:space="preserve">Para poder integrar los diseños en </w:t>
      </w:r>
      <w:r>
        <w:rPr>
          <w:rStyle w:val="Strong"/>
        </w:rPr>
        <w:t>Godot 4</w:t>
      </w:r>
      <w:r>
        <w:rPr/>
        <w:t xml:space="preserve">, los elementos deben entregarse </w:t>
      </w:r>
      <w:r>
        <w:rPr>
          <w:rStyle w:val="Strong"/>
        </w:rPr>
        <w:t>despiezados (export por capas/assets individuales)</w:t>
      </w:r>
      <w:r>
        <w:rPr/>
        <w:t xml:space="preserve"> y no montados en una sola imagen fija.</w:t>
      </w:r>
    </w:p>
    <w:p>
      <w:pPr>
        <w:pStyle w:val="Heading3"/>
        <w:bidi w:val="0"/>
        <w:jc w:val="left"/>
        <w:rPr/>
      </w:pPr>
      <w:r>
        <w:rPr/>
        <w:t>A. Archivos y Formatos Principales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/>
        <w:jc w:val="left"/>
        <w:rPr/>
      </w:pPr>
      <w:r>
        <w:rPr>
          <w:rStyle w:val="Strong"/>
        </w:rPr>
        <w:t>Assets gráficos:</w:t>
      </w:r>
      <w:r>
        <w:rPr/>
        <w:t xml:space="preserve"> Archivos </w:t>
      </w:r>
      <w:r>
        <w:rPr>
          <w:rStyle w:val="SourceText"/>
        </w:rPr>
        <w:t>.png</w:t>
      </w:r>
      <w:r>
        <w:rPr/>
        <w:t xml:space="preserve"> individuales con fondo transparente (canal Alpha).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/>
        <w:jc w:val="left"/>
        <w:rPr/>
      </w:pPr>
      <w:r>
        <w:rPr>
          <w:rStyle w:val="Strong"/>
        </w:rPr>
        <w:t>Tipografías:</w:t>
      </w:r>
      <w:r>
        <w:rPr/>
        <w:t xml:space="preserve"> Archivos </w:t>
      </w:r>
      <w:r>
        <w:rPr>
          <w:rStyle w:val="SourceText"/>
        </w:rPr>
        <w:t>.ttf</w:t>
      </w:r>
      <w:r>
        <w:rPr/>
        <w:t xml:space="preserve"> o </w:t>
      </w:r>
      <w:r>
        <w:rPr>
          <w:rStyle w:val="SourceText"/>
        </w:rPr>
        <w:t>.otf</w:t>
      </w:r>
      <w:r>
        <w:rPr/>
        <w:t xml:space="preserve"> de las fuentes utilizadas en la interfaz (para poder generar los textos numéricos dinámicos desde código).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59" w:leader="none"/>
        </w:tabs>
        <w:bidi w:val="0"/>
        <w:ind w:hanging="283" w:left="1159"/>
        <w:jc w:val="left"/>
        <w:rPr/>
      </w:pPr>
      <w:r>
        <w:rPr>
          <w:rStyle w:val="Strong"/>
        </w:rPr>
        <w:t>Mockup de referencia:</w:t>
      </w:r>
      <w:r>
        <w:rPr/>
        <w:t xml:space="preserve"> Un archivo </w:t>
      </w:r>
      <w:r>
        <w:rPr>
          <w:rStyle w:val="SourceText"/>
        </w:rPr>
        <w:t>.png</w:t>
      </w:r>
      <w:r>
        <w:rPr/>
        <w:t xml:space="preserve"> o PDF del HUD completo armado en resolución </w:t>
      </w:r>
      <w:r>
        <w:rPr>
          <w:rStyle w:val="Strong"/>
        </w:rPr>
        <w:t>1920x1080 px</w:t>
      </w:r>
      <w:r>
        <w:rPr/>
        <w:t xml:space="preserve"> (sirve como guía de posición, fuentes y espaciado). </w:t>
      </w:r>
    </w:p>
    <w:p>
      <w:pPr>
        <w:pStyle w:val="Heading3"/>
        <w:bidi w:val="0"/>
        <w:jc w:val="left"/>
        <w:rPr/>
      </w:pPr>
      <w:r>
        <w:rPr/>
        <w:t>B. Listado Desglosado de Assets Solicitados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/>
        <w:jc w:val="left"/>
        <w:rPr/>
      </w:pPr>
      <w:r>
        <w:rPr>
          <w:rStyle w:val="Strong"/>
        </w:rPr>
        <w:t>Iconografía (256x256 px o 128x128 px, PNG transparente):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Icono para </w:t>
      </w:r>
      <w:r>
        <w:rPr>
          <w:rStyle w:val="Strong"/>
        </w:rPr>
        <w:t>Oxígeno Disuelto</w:t>
      </w:r>
      <w:r>
        <w:rPr/>
        <w:t xml:space="preserve"> (ejemplo: moléculas de O2, burbujas).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Icono para </w:t>
      </w:r>
      <w:r>
        <w:rPr>
          <w:rStyle w:val="Strong"/>
        </w:rPr>
        <w:t>Nutrientes / Nitratos / Fosfatos / Amonio</w:t>
      </w:r>
      <w:r>
        <w:rPr/>
        <w:t xml:space="preserve"> (ejemplo: frasco de laboratorio, compuesto químico).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Icono para </w:t>
      </w:r>
      <w:r>
        <w:rPr>
          <w:rStyle w:val="Strong"/>
        </w:rPr>
        <w:t>DBO</w:t>
      </w:r>
      <w:r>
        <w:rPr/>
        <w:t xml:space="preserve"> (ejemplo: curva de demanda de oxígeno / prueba biológica).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Icono para </w:t>
      </w:r>
      <w:r>
        <w:rPr>
          <w:rStyle w:val="Strong"/>
        </w:rPr>
        <w:t>Coliformes Fecales / Bacterias</w:t>
      </w:r>
      <w:r>
        <w:rPr/>
        <w:t xml:space="preserve"> (ejemplo: microorganismo / germen).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Icono para </w:t>
      </w:r>
      <w:r>
        <w:rPr>
          <w:rStyle w:val="Strong"/>
        </w:rPr>
        <w:t>Metales Pesados / Cromo (Cr)</w:t>
      </w:r>
      <w:r>
        <w:rPr/>
        <w:t xml:space="preserve"> (ejemplo: símbolo de toxicidad química / gota de metal).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/>
        <w:jc w:val="left"/>
        <w:rPr/>
      </w:pPr>
      <w:r>
        <w:rPr>
          <w:rStyle w:val="Strong"/>
        </w:rPr>
        <w:t>Fondos y Paneles (Compatibles con 9-Slice / NinePatchRect):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Fondo para la tarjeta principal (Panel del ICA).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Fondo para las tarjetas o filas de los parámetros.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>
          <w:rStyle w:val="Emphasis"/>
        </w:rPr>
        <w:t>Nota:</w:t>
      </w:r>
      <w:r>
        <w:rPr/>
        <w:t xml:space="preserve"> Si tienen bordes redondeados o sombras, enviar la textura limpia sin deformación previa para configurar las zonas de estiramiento en Godot.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/>
        <w:jc w:val="left"/>
        <w:rPr/>
      </w:pPr>
      <w:r>
        <w:rPr>
          <w:rStyle w:val="Strong"/>
        </w:rPr>
        <w:t>Componentes del Indicador ICA: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Anillo / Barra de fondo (estado base deshabilitado).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Anillo / Barra de progreso (relleno que se pueda manipular por código).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/>
        <w:jc w:val="left"/>
        <w:rPr/>
      </w:pPr>
      <w:r>
        <w:rPr/>
        <w:t xml:space="preserve">Iconos opcionales de estado o alertas (verde / amarillo / naranja / rojo).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/>
        <w:jc w:val="left"/>
        <w:rPr/>
      </w:pPr>
      <w:r>
        <w:rPr>
          <w:rStyle w:val="Strong"/>
        </w:rPr>
        <w:t xml:space="preserve">Paleta de Colores (Guía de Estilos):**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868" w:leader="none"/>
        </w:tabs>
        <w:bidi w:val="0"/>
        <w:spacing w:before="0" w:after="283"/>
        <w:ind w:hanging="283" w:left="1868"/>
        <w:jc w:val="left"/>
        <w:rPr/>
      </w:pPr>
      <w:r>
        <w:rPr>
          <w:rStyle w:val="Strong"/>
        </w:rPr>
        <w:t xml:space="preserve">Definición de códigos HEX o RGB para la escala de gravedad del ICA.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450" w:after="450"/>
      <w:ind w:left="450" w:right="450"/>
    </w:pPr>
    <w:rPr>
      <w:rFonts w:ascii="Arial;sans-serif" w:hAnsi="Arial;sans-serif" w:eastAsia="Arial;sans-serif" w:cs="Arial;sans-serif"/>
      <w:color w:val="22222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1A5276"/>
      </w:pBdr>
    </w:pPr>
    <w:rPr>
      <w:rFonts w:ascii="Noto Sans" w:hAnsi="Noto Sans"/>
      <w:b/>
      <w:bCs/>
      <w:color w:val="1A5276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375" w:after="120"/>
      <w:outlineLvl w:val="1"/>
    </w:pPr>
    <w:rPr>
      <w:rFonts w:ascii="Liberation Serif" w:hAnsi="Liberation Serif" w:eastAsia="Noto Serif CJK SC" w:cs="Noto Sans Devanagari"/>
      <w:b/>
      <w:bCs/>
      <w:color w:val="2E86C1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874A6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268" w:leader="none"/>
        <w:tab w:val="right" w:pos="1008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268" w:leader="none"/>
        <w:tab w:val="right" w:pos="1008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269" w:leader="none"/>
        <w:tab w:val="right" w:pos="1008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EBF5FB" w:val="clear"/>
      <w:jc w:val="left"/>
    </w:pPr>
    <w:rPr>
      <w:b/>
      <w:bCs/>
      <w:color w:val="1B4F7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Especificaciones Técnicas y de Diseño UI/UX: HUD EcoAgua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