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20"/>
        <w:jc w:val="center"/>
      </w:pPr>
      <w:r>
        <w:rPr>
          <w:rFonts w:ascii="Calibri" w:hAnsi="Calibri"/>
          <w:b/>
          <w:color w:val="1F4D78"/>
          <w:sz w:val="36"/>
        </w:rPr>
        <w:t>CONTRATO DE PRESTAÇÃO DE SERVIÇOS</w:t>
      </w:r>
    </w:p>
    <w:p>
      <w:pPr>
        <w:spacing w:after="280"/>
        <w:jc w:val="center"/>
      </w:pPr>
      <w:r>
        <w:rPr>
          <w:rFonts w:ascii="Calibri" w:hAnsi="Calibri"/>
          <w:b/>
          <w:color w:val="2E74B5"/>
          <w:sz w:val="25"/>
        </w:rPr>
        <w:t>GESTÃO DE MÍDIA ELEITORAL E CHATBOT INFORMATIVO</w:t>
      </w:r>
    </w:p>
    <w:p>
      <w:pPr>
        <w:widowControl/>
        <w:spacing w:before="0" w:after="120" w:line="264" w:lineRule="auto"/>
        <w:ind w:firstLine="403"/>
        <w:jc w:val="both"/>
      </w:pPr>
      <w:r>
        <w:rPr>
          <w:rFonts w:ascii="Calibri" w:hAnsi="Calibri"/>
          <w:color w:val="000000"/>
          <w:sz w:val="22"/>
        </w:rPr>
        <w:t>Pelo presente instrumento particular, de um lado, REV COMUNICACAO INTEGRADA LTDA, pessoa jurídica de direito privado, inscrita no CNPJ sob o nº 44.869.466/0001-01, com sede na Avenida Bernardo de Vasconcelos, nº 2277, Bairro Palmares, CEP 31160-440, Belo Horizonte/MG, neste ato representada por seu Sócio-Administrador, Pedro Henrique Moreira Alves, doravante denominada CONTRATANTE; e, de outro lado, 67.726.428 PATRICK EDUARDO LIMA SILVA, empresário individual inscrito no CNPJ sob o nº 67.726.428/0001-97, neste ato representado por seu titular Patrick Eduardo Lima Silva, doravante denominado CONTRATADO; em conjunto denominados Partes, resolvem celebrar o presente Contrato de Prestação de Serviços, mediante as cláusulas seguintes.</w:t>
      </w:r>
    </w:p>
    <w:p>
      <w:pPr>
        <w:pStyle w:val="Heading1"/>
        <w:keepNext/>
      </w:pPr>
      <w:r>
        <w:t>CLÁUSULA 1ª - PREMISSAS, BENEFICIÁRIO E NATUREZA DA CONTRATAÇÃO</w:t>
      </w:r>
    </w:p>
    <w:p>
      <w:pPr>
        <w:widowControl/>
        <w:spacing w:before="0" w:after="120" w:line="264" w:lineRule="auto"/>
        <w:jc w:val="both"/>
      </w:pPr>
      <w:r>
        <w:rPr>
          <w:rFonts w:ascii="Calibri" w:hAnsi="Calibri"/>
          <w:color w:val="000000"/>
          <w:sz w:val="22"/>
        </w:rPr>
        <w:t>1.1. Os serviços destinam-se à campanha eleitoral de Ademir Lucas Gomes, candidato ao cargo de Deputado Federal pelo Estado de Minas Gerais nas Eleições 2026, doravante denominada Campanha Beneficiária, sem que o candidato, o partido, a federação, a coligação ou a própria campanha se tornem partes deste instrumento.</w:t>
      </w:r>
    </w:p>
    <w:p>
      <w:pPr>
        <w:widowControl/>
        <w:spacing w:before="0" w:after="120" w:line="264" w:lineRule="auto"/>
        <w:jc w:val="both"/>
      </w:pPr>
      <w:r>
        <w:rPr>
          <w:rFonts w:ascii="Calibri" w:hAnsi="Calibri"/>
          <w:color w:val="000000"/>
          <w:sz w:val="22"/>
        </w:rPr>
        <w:t>1.2. A CONTRATANTE contrata e remunera o CONTRATADO pelos serviços profissionais descritos neste instrumento, respondendo perante ele pelas aprovações, informações, acessos e pagamentos assumidos, ainda que dependa de validações ou providências da Campanha Beneficiária.</w:t>
      </w:r>
    </w:p>
    <w:p>
      <w:pPr>
        <w:widowControl/>
        <w:spacing w:before="0" w:after="120" w:line="264" w:lineRule="auto"/>
        <w:jc w:val="both"/>
      </w:pPr>
      <w:r>
        <w:rPr>
          <w:rFonts w:ascii="Calibri" w:hAnsi="Calibri"/>
          <w:color w:val="000000"/>
          <w:sz w:val="22"/>
        </w:rPr>
        <w:t>1.3. Este contrato estabelece obrigação de meio, consistente em atuação técnica diligente e compatível com as práticas de mídia digital e com a legislação eleitoral, não constituindo promessa de votos, eleição, alcance, conversões ou qualquer resultado específico.</w:t>
      </w:r>
    </w:p>
    <w:p>
      <w:pPr>
        <w:pStyle w:val="Heading1"/>
        <w:keepNext/>
      </w:pPr>
      <w:r>
        <w:t>CLÁUSULA 2ª - OBJETO E ESCOPO GERAL</w:t>
      </w:r>
    </w:p>
    <w:p>
      <w:pPr>
        <w:widowControl/>
        <w:spacing w:before="0" w:after="120" w:line="264" w:lineRule="auto"/>
        <w:jc w:val="both"/>
      </w:pPr>
      <w:r>
        <w:rPr>
          <w:rFonts w:ascii="Calibri" w:hAnsi="Calibri"/>
          <w:color w:val="000000"/>
          <w:sz w:val="22"/>
        </w:rPr>
        <w:t>2.1. Constitui objeto deste contrato: (i) o planejamento, a estruturação, a operação, o monitoramento e a otimização de mídia digital eleitoral; e (ii) a configuração, implantação e disponibilização de chatbot informativo, baseado em conteúdo previamente fornecido ou aprovado, no site oficial da candidatura ou em outro site cuja utilização seja juridicamente permitida e previamente indicada pela CONTRATANTE.</w:t>
      </w:r>
    </w:p>
    <w:p>
      <w:pPr>
        <w:widowControl/>
        <w:spacing w:before="0" w:after="120" w:line="264" w:lineRule="auto"/>
        <w:jc w:val="both"/>
      </w:pPr>
      <w:r>
        <w:rPr>
          <w:rFonts w:ascii="Calibri" w:hAnsi="Calibri"/>
          <w:color w:val="000000"/>
          <w:sz w:val="22"/>
        </w:rPr>
        <w:t>2.2. O objeto será executado dentro do período, orçamento, canais, contas, ativos, materiais e limites de aprovação previstos neste instrumento, observada a disponibilidade das plataformas e das informações necessárias.</w:t>
      </w:r>
    </w:p>
    <w:p>
      <w:pPr>
        <w:widowControl/>
        <w:spacing w:before="0" w:after="120" w:line="264" w:lineRule="auto"/>
        <w:jc w:val="both"/>
      </w:pPr>
      <w:r>
        <w:rPr>
          <w:rFonts w:ascii="Calibri" w:hAnsi="Calibri"/>
          <w:color w:val="000000"/>
          <w:sz w:val="22"/>
        </w:rPr>
        <w:t>2.3. Qualquer atividade não expressamente incluída dependerá de orçamento e aceite escritos, inclusive produção audiovisual presencial, gestão orgânica de redes sociais, assessoria de imprensa, pesquisas eleitorais, atendimento a eleitores, disparos de mensagens, desenvolvimento integral de site, consultoria jurídica, contabilidade eleitoral e prestação de contas.</w:t>
      </w:r>
    </w:p>
    <w:p>
      <w:pPr>
        <w:pStyle w:val="Heading1"/>
        <w:keepNext/>
      </w:pPr>
      <w:r>
        <w:t>CLÁUSULA 3ª - GESTÃO DE MÍDIA ELEITORAL</w:t>
      </w:r>
    </w:p>
    <w:p>
      <w:pPr>
        <w:widowControl/>
        <w:spacing w:before="0" w:after="120" w:line="264" w:lineRule="auto"/>
        <w:jc w:val="both"/>
      </w:pPr>
      <w:r>
        <w:rPr>
          <w:rFonts w:ascii="Calibri" w:hAnsi="Calibri"/>
          <w:color w:val="000000"/>
          <w:sz w:val="22"/>
        </w:rPr>
        <w:t>3.1. A gestão de mídia compreende, conforme tecnicamente aplicável: organização e configuração operacional de campanhas; criação e ajuste de públicos e segmentações lícitas; distribuição do orçamento autorizado; programação, ativação, pausa e substituição de anúncios aprovados; testes; monitoramento; otimizações; e apresentação de informações de desempenho à CONTRATANTE.</w:t>
      </w:r>
    </w:p>
    <w:p>
      <w:pPr>
        <w:widowControl/>
        <w:spacing w:before="0" w:after="120" w:line="264" w:lineRule="auto"/>
        <w:jc w:val="both"/>
      </w:pPr>
      <w:r>
        <w:rPr>
          <w:rFonts w:ascii="Calibri" w:hAnsi="Calibri"/>
          <w:color w:val="000000"/>
          <w:sz w:val="22"/>
        </w:rPr>
        <w:t>3.2. A criação de peças gráficas, vídeos, fotografias, locuções, páginas, textos extensos ou outros materiais de produção não integra o escopo, salvo quando o CONTRATADO realizar adaptações técnicas simples de materiais fornecidos e aprovados ou houver ajuste escrito específico.</w:t>
      </w:r>
    </w:p>
    <w:p>
      <w:pPr>
        <w:widowControl/>
        <w:spacing w:before="0" w:after="120" w:line="264" w:lineRule="auto"/>
        <w:jc w:val="both"/>
      </w:pPr>
      <w:r>
        <w:rPr>
          <w:rFonts w:ascii="Calibri" w:hAnsi="Calibri"/>
          <w:color w:val="000000"/>
          <w:sz w:val="22"/>
        </w:rPr>
        <w:t>3.3. O CONTRATADO poderá recusar, suspender ou retirar de veiculação material que, em avaliação técnica razoável, apresente risco de violação legal, eleitoral, autoral, de privacidade ou das políticas das plataformas, comunicando a CONTRATANTE tão logo seja possível.</w:t>
      </w:r>
    </w:p>
    <w:p>
      <w:pPr>
        <w:pStyle w:val="Heading1"/>
        <w:keepNext/>
      </w:pPr>
      <w:r>
        <w:t>CLÁUSULA 4ª - CHATBOT INFORMATIVO, ENTREGA E GARANTIA</w:t>
      </w:r>
    </w:p>
    <w:p>
      <w:pPr>
        <w:widowControl/>
        <w:spacing w:before="0" w:after="120" w:line="264" w:lineRule="auto"/>
        <w:jc w:val="both"/>
      </w:pPr>
      <w:r>
        <w:rPr>
          <w:rFonts w:ascii="Calibri" w:hAnsi="Calibri"/>
          <w:color w:val="000000"/>
          <w:sz w:val="22"/>
        </w:rPr>
        <w:t>4.1. O chatbot será uma solução informativa baseada em base de conhecimento, sem funcionalidade de IA generativa no escopo contratado, destinada a apresentar respostas predefinidas a partir de conteúdo fornecido ou aprovado pela CONTRATANTE.</w:t>
      </w:r>
    </w:p>
    <w:p>
      <w:pPr>
        <w:widowControl/>
        <w:spacing w:before="0" w:after="120" w:line="264" w:lineRule="auto"/>
        <w:jc w:val="both"/>
      </w:pPr>
      <w:r>
        <w:rPr>
          <w:rFonts w:ascii="Calibri" w:hAnsi="Calibri"/>
          <w:color w:val="000000"/>
          <w:sz w:val="22"/>
        </w:rPr>
        <w:t>4.2. A solução será implantada e disponibilizada em funcionamento até 16 de agosto de 2026, desde que a CONTRATANTE entregue, com antecedência técnica suficiente, os acessos ao site, a infraestrutura, a base de conhecimento, os materiais e as aprovações necessários. Atrasos nessas dependências acarretarão reprogramação proporcional, sem mora do CONTRATADO.</w:t>
      </w:r>
    </w:p>
    <w:p>
      <w:pPr>
        <w:widowControl/>
        <w:spacing w:before="0" w:after="120" w:line="264" w:lineRule="auto"/>
        <w:jc w:val="both"/>
      </w:pPr>
      <w:r>
        <w:rPr>
          <w:rFonts w:ascii="Calibri" w:hAnsi="Calibri"/>
          <w:color w:val="000000"/>
          <w:sz w:val="22"/>
        </w:rPr>
        <w:t>4.3. A entrega compreende a solução implantada e funcional no ambiente autorizado. Não inclui manutenção contínua, hospedagem, licenças, assinaturas de terceiros, ampliação de conteúdo, novos fluxos, integrações, alterações de layout ou novas funcionalidades, salvo contratação escrita.</w:t>
      </w:r>
    </w:p>
    <w:p>
      <w:pPr>
        <w:widowControl/>
        <w:spacing w:before="0" w:after="120" w:line="264" w:lineRule="auto"/>
        <w:jc w:val="both"/>
      </w:pPr>
      <w:r>
        <w:rPr>
          <w:rFonts w:ascii="Calibri" w:hAnsi="Calibri"/>
          <w:color w:val="000000"/>
          <w:sz w:val="22"/>
        </w:rPr>
        <w:t>4.4. O CONTRATADO corrigirá, sem custo adicional, durante 15 (quinze) dias corridos contados da comunicação de entrega, defeitos reproduzíveis que impeçam funcionalidade expressamente prevista de operar conforme o escopo. A garantia não abrange indisponibilidade ou alteração de terceiros, uso indevido, mudança feita por terceiros, conteúdo incorreto fornecido, nova funcionalidade ou mudança de escopo.</w:t>
      </w:r>
    </w:p>
    <w:p>
      <w:pPr>
        <w:widowControl/>
        <w:spacing w:before="0" w:after="120" w:line="264" w:lineRule="auto"/>
        <w:jc w:val="both"/>
      </w:pPr>
      <w:r>
        <w:rPr>
          <w:rFonts w:ascii="Calibri" w:hAnsi="Calibri"/>
          <w:color w:val="000000"/>
          <w:sz w:val="22"/>
        </w:rPr>
        <w:t>4.5. A CONTRATANTE deverá comunicar eventual defeito com descrição objetiva e evidências suficientes para reprodução. Correções válidas não reiniciam nem prorrogam o prazo de garantia, salvo ajuste escrito.</w:t>
      </w:r>
    </w:p>
    <w:p>
      <w:pPr>
        <w:pStyle w:val="Heading1"/>
        <w:keepNext/>
      </w:pPr>
      <w:r>
        <w:t>CLÁUSULA 5ª - PRAZO, CRONOGRAMA E DEPENDÊNCIAS</w:t>
      </w:r>
    </w:p>
    <w:p>
      <w:pPr>
        <w:widowControl/>
        <w:spacing w:before="0" w:after="120" w:line="264" w:lineRule="auto"/>
        <w:jc w:val="both"/>
      </w:pPr>
      <w:r>
        <w:rPr>
          <w:rFonts w:ascii="Calibri" w:hAnsi="Calibri"/>
          <w:color w:val="000000"/>
          <w:sz w:val="22"/>
        </w:rPr>
        <w:t>5.1. A gestão de mídia será prestada de 16 de agosto de 2026 a 29 de setembro de 2026, inclusive, encerrando-se automaticamente nessa última data, sem renovação tácita.</w:t>
      </w:r>
    </w:p>
    <w:p>
      <w:pPr>
        <w:widowControl/>
        <w:spacing w:before="0" w:after="120" w:line="264" w:lineRule="auto"/>
        <w:jc w:val="both"/>
      </w:pPr>
      <w:r>
        <w:rPr>
          <w:rFonts w:ascii="Calibri" w:hAnsi="Calibri"/>
          <w:color w:val="000000"/>
          <w:sz w:val="22"/>
        </w:rPr>
        <w:t>5.2. A execução e os prazos pressupõem a entrega tempestiva de credenciais, materiais, informações, autorizações, meios de pagamento das plataformas e aprovações. O período em que o CONTRATADO permanecer impedido de atuar por fato alheio à sua responsabilidade não caracterizará inadimplemento e não reduzirá a remuneração reservada para o projeto.</w:t>
      </w:r>
    </w:p>
    <w:p>
      <w:pPr>
        <w:widowControl/>
        <w:spacing w:before="0" w:after="120" w:line="264" w:lineRule="auto"/>
        <w:jc w:val="both"/>
      </w:pPr>
      <w:r>
        <w:rPr>
          <w:rFonts w:ascii="Calibri" w:hAnsi="Calibri"/>
          <w:color w:val="000000"/>
          <w:sz w:val="22"/>
        </w:rPr>
        <w:t>5.3. Alterações de calendário eleitoral, indeferimento ou cancelamento de registro, renúncia, substituição de candidatura, ordem judicial, indisponibilidade de conta ou outro evento superveniente relevante serão tratados por readequação escrita do escopo; se inviabilizarem definitivamente a execução, aplicar-se-ão as regras de encerramento da Cláusula 15ª.</w:t>
      </w:r>
    </w:p>
    <w:p>
      <w:pPr>
        <w:pStyle w:val="Heading1"/>
        <w:keepNext/>
      </w:pPr>
      <w:r>
        <w:t>CLÁUSULA 6ª - REMUNERAÇÃO E CONDIÇÕES DE PAGAMENTO</w:t>
      </w:r>
    </w:p>
    <w:p>
      <w:pPr>
        <w:widowControl/>
        <w:spacing w:before="0" w:after="120" w:line="264" w:lineRule="auto"/>
        <w:jc w:val="both"/>
      </w:pPr>
      <w:r>
        <w:rPr>
          <w:rFonts w:ascii="Calibri" w:hAnsi="Calibri"/>
          <w:color w:val="000000"/>
          <w:sz w:val="22"/>
        </w:rPr>
        <w:t>6.1. Pela execução integral dos serviços, a CONTRATANTE pagará ao CONTRATADO o total de R$ 9.000,00 (nove mil reais), conforme o quadro abaixo:</w:t>
      </w:r>
    </w:p>
    <w:tbl>
      <w:tblPr>
        <w:tblStyle w:val="TableGrid"/>
        <w:tblW w:type="dxa" w:w="9360"/>
        <w:jc w:val="left"/>
        <w:tblLayout w:type="fixed"/>
        <w:tblLook w:firstColumn="1" w:firstRow="1" w:lastColumn="0" w:lastRow="0" w:noHBand="0" w:noVBand="1" w:val="04A0"/>
        <w:tblInd w:w="120" w:type="dxa"/>
      </w:tblPr>
      <w:tblGrid>
        <w:gridCol w:w="3300"/>
        <w:gridCol w:w="1600"/>
        <w:gridCol w:w="2200"/>
        <w:gridCol w:w="2260"/>
      </w:tblGrid>
      <w:tr>
        <w:trPr>
          <w:tblHeader w:val="true"/>
        </w:trPr>
        <w:tc>
          <w:tcPr>
            <w:tcW w:type="dxa" w:w="3300"/>
            <w:shd w:fill="F2F4F7"/>
            <w:tcMar>
              <w:top w:w="80" w:type="dxa"/>
              <w:start w:w="120" w:type="dxa"/>
              <w:bottom w:w="80" w:type="dxa"/>
              <w:end w:w="120" w:type="dxa"/>
            </w:tcMar>
            <w:vAlign w:val="center"/>
          </w:tcPr>
          <w:p>
            <w:pPr>
              <w:spacing w:after="0"/>
              <w:jc w:val="center"/>
            </w:pPr>
            <w:r>
              <w:rPr>
                <w:rFonts w:ascii="Calibri" w:hAnsi="Calibri"/>
                <w:b/>
                <w:color w:val="1F4D78"/>
                <w:sz w:val="19"/>
              </w:rPr>
              <w:t>Serviço</w:t>
            </w:r>
          </w:p>
        </w:tc>
        <w:tc>
          <w:tcPr>
            <w:tcW w:type="dxa" w:w="1600"/>
            <w:shd w:fill="F2F4F7"/>
            <w:tcMar>
              <w:top w:w="80" w:type="dxa"/>
              <w:start w:w="120" w:type="dxa"/>
              <w:bottom w:w="80" w:type="dxa"/>
              <w:end w:w="120" w:type="dxa"/>
            </w:tcMar>
            <w:vAlign w:val="center"/>
          </w:tcPr>
          <w:p>
            <w:pPr>
              <w:spacing w:after="0"/>
              <w:jc w:val="center"/>
            </w:pPr>
            <w:r>
              <w:rPr>
                <w:rFonts w:ascii="Calibri" w:hAnsi="Calibri"/>
                <w:b/>
                <w:color w:val="1F4D78"/>
                <w:sz w:val="19"/>
              </w:rPr>
              <w:t>Valor</w:t>
            </w:r>
          </w:p>
        </w:tc>
        <w:tc>
          <w:tcPr>
            <w:tcW w:type="dxa" w:w="2200"/>
            <w:shd w:fill="F2F4F7"/>
            <w:tcMar>
              <w:top w:w="80" w:type="dxa"/>
              <w:start w:w="120" w:type="dxa"/>
              <w:bottom w:w="80" w:type="dxa"/>
              <w:end w:w="120" w:type="dxa"/>
            </w:tcMar>
            <w:vAlign w:val="center"/>
          </w:tcPr>
          <w:p>
            <w:pPr>
              <w:spacing w:after="0"/>
              <w:jc w:val="center"/>
            </w:pPr>
            <w:r>
              <w:rPr>
                <w:rFonts w:ascii="Calibri" w:hAnsi="Calibri"/>
                <w:b/>
                <w:color w:val="1F4D78"/>
                <w:sz w:val="19"/>
              </w:rPr>
              <w:t>Parcela inicial</w:t>
            </w:r>
          </w:p>
        </w:tc>
        <w:tc>
          <w:tcPr>
            <w:tcW w:type="dxa" w:w="2260"/>
            <w:shd w:fill="F2F4F7"/>
            <w:tcMar>
              <w:top w:w="80" w:type="dxa"/>
              <w:start w:w="120" w:type="dxa"/>
              <w:bottom w:w="80" w:type="dxa"/>
              <w:end w:w="120" w:type="dxa"/>
            </w:tcMar>
            <w:vAlign w:val="center"/>
          </w:tcPr>
          <w:p>
            <w:pPr>
              <w:spacing w:after="0"/>
              <w:jc w:val="center"/>
            </w:pPr>
            <w:r>
              <w:rPr>
                <w:rFonts w:ascii="Calibri" w:hAnsi="Calibri"/>
                <w:b/>
                <w:color w:val="1F4D78"/>
                <w:sz w:val="19"/>
              </w:rPr>
              <w:t>Saldo</w:t>
            </w:r>
          </w:p>
        </w:tc>
      </w:tr>
      <w:tr>
        <w:tc>
          <w:tcPr>
            <w:tcW w:type="dxa" w:w="3300"/>
            <w:tcMar>
              <w:top w:w="80" w:type="dxa"/>
              <w:start w:w="120" w:type="dxa"/>
              <w:bottom w:w="80" w:type="dxa"/>
              <w:end w:w="120" w:type="dxa"/>
            </w:tcMar>
            <w:vAlign w:val="center"/>
          </w:tcPr>
          <w:p>
            <w:pPr>
              <w:spacing w:after="0" w:line="240" w:lineRule="auto"/>
              <w:jc w:val="left"/>
            </w:pPr>
            <w:r>
              <w:rPr>
                <w:rFonts w:ascii="Calibri" w:hAnsi="Calibri"/>
                <w:b w:val="0"/>
                <w:color w:val="000000"/>
                <w:sz w:val="19"/>
              </w:rPr>
              <w:t>Gestão de mídia eleitoral</w:t>
            </w:r>
          </w:p>
        </w:tc>
        <w:tc>
          <w:tcPr>
            <w:tcW w:type="dxa" w:w="1600"/>
            <w:tcMar>
              <w:top w:w="80" w:type="dxa"/>
              <w:start w:w="120" w:type="dxa"/>
              <w:bottom w:w="80" w:type="dxa"/>
              <w:end w:w="120" w:type="dxa"/>
            </w:tcMar>
            <w:vAlign w:val="center"/>
          </w:tcPr>
          <w:p>
            <w:pPr>
              <w:spacing w:after="0" w:line="240" w:lineRule="auto"/>
              <w:jc w:val="center"/>
            </w:pPr>
            <w:r>
              <w:rPr>
                <w:rFonts w:ascii="Calibri" w:hAnsi="Calibri"/>
                <w:b w:val="0"/>
                <w:color w:val="000000"/>
                <w:sz w:val="19"/>
              </w:rPr>
              <w:t>R$ 7.500,00</w:t>
            </w:r>
          </w:p>
        </w:tc>
        <w:tc>
          <w:tcPr>
            <w:tcW w:type="dxa" w:w="2200"/>
            <w:tcMar>
              <w:top w:w="80" w:type="dxa"/>
              <w:start w:w="120" w:type="dxa"/>
              <w:bottom w:w="80" w:type="dxa"/>
              <w:end w:w="120" w:type="dxa"/>
            </w:tcMar>
            <w:vAlign w:val="center"/>
          </w:tcPr>
          <w:p>
            <w:pPr>
              <w:spacing w:after="0" w:line="240" w:lineRule="auto"/>
              <w:jc w:val="center"/>
            </w:pPr>
            <w:r>
              <w:rPr>
                <w:rFonts w:ascii="Calibri" w:hAnsi="Calibri"/>
                <w:b w:val="0"/>
                <w:color w:val="000000"/>
                <w:sz w:val="19"/>
              </w:rPr>
              <w:t>R$ 3.750,00 na assinatura</w:t>
            </w:r>
          </w:p>
        </w:tc>
        <w:tc>
          <w:tcPr>
            <w:tcW w:type="dxa" w:w="2260"/>
            <w:tcMar>
              <w:top w:w="80" w:type="dxa"/>
              <w:start w:w="120" w:type="dxa"/>
              <w:bottom w:w="80" w:type="dxa"/>
              <w:end w:w="120" w:type="dxa"/>
            </w:tcMar>
            <w:vAlign w:val="center"/>
          </w:tcPr>
          <w:p>
            <w:pPr>
              <w:spacing w:after="0" w:line="240" w:lineRule="auto"/>
              <w:jc w:val="center"/>
            </w:pPr>
            <w:r>
              <w:rPr>
                <w:rFonts w:ascii="Calibri" w:hAnsi="Calibri"/>
                <w:b w:val="0"/>
                <w:color w:val="000000"/>
                <w:sz w:val="19"/>
              </w:rPr>
              <w:t>R$ 3.750,00 em 29/09/2026</w:t>
            </w:r>
          </w:p>
        </w:tc>
      </w:tr>
      <w:tr>
        <w:tc>
          <w:tcPr>
            <w:tcW w:type="dxa" w:w="3300"/>
            <w:tcMar>
              <w:top w:w="80" w:type="dxa"/>
              <w:start w:w="120" w:type="dxa"/>
              <w:bottom w:w="80" w:type="dxa"/>
              <w:end w:w="120" w:type="dxa"/>
            </w:tcMar>
            <w:vAlign w:val="center"/>
          </w:tcPr>
          <w:p>
            <w:pPr>
              <w:spacing w:after="0" w:line="240" w:lineRule="auto"/>
              <w:jc w:val="left"/>
            </w:pPr>
            <w:r>
              <w:rPr>
                <w:rFonts w:ascii="Calibri" w:hAnsi="Calibri"/>
                <w:b w:val="0"/>
                <w:color w:val="000000"/>
                <w:sz w:val="19"/>
              </w:rPr>
              <w:t>Chatbot informativo</w:t>
            </w:r>
          </w:p>
        </w:tc>
        <w:tc>
          <w:tcPr>
            <w:tcW w:type="dxa" w:w="1600"/>
            <w:tcMar>
              <w:top w:w="80" w:type="dxa"/>
              <w:start w:w="120" w:type="dxa"/>
              <w:bottom w:w="80" w:type="dxa"/>
              <w:end w:w="120" w:type="dxa"/>
            </w:tcMar>
            <w:vAlign w:val="center"/>
          </w:tcPr>
          <w:p>
            <w:pPr>
              <w:spacing w:after="0" w:line="240" w:lineRule="auto"/>
              <w:jc w:val="center"/>
            </w:pPr>
            <w:r>
              <w:rPr>
                <w:rFonts w:ascii="Calibri" w:hAnsi="Calibri"/>
                <w:b w:val="0"/>
                <w:color w:val="000000"/>
                <w:sz w:val="19"/>
              </w:rPr>
              <w:t>R$ 1.500,00</w:t>
            </w:r>
          </w:p>
        </w:tc>
        <w:tc>
          <w:tcPr>
            <w:tcW w:type="dxa" w:w="2200"/>
            <w:tcMar>
              <w:top w:w="80" w:type="dxa"/>
              <w:start w:w="120" w:type="dxa"/>
              <w:bottom w:w="80" w:type="dxa"/>
              <w:end w:w="120" w:type="dxa"/>
            </w:tcMar>
            <w:vAlign w:val="center"/>
          </w:tcPr>
          <w:p>
            <w:pPr>
              <w:spacing w:after="0" w:line="240" w:lineRule="auto"/>
              <w:jc w:val="center"/>
            </w:pPr>
            <w:r>
              <w:rPr>
                <w:rFonts w:ascii="Calibri" w:hAnsi="Calibri"/>
                <w:b w:val="0"/>
                <w:color w:val="000000"/>
                <w:sz w:val="19"/>
              </w:rPr>
              <w:t>R$ 750,00 na assinatura</w:t>
            </w:r>
          </w:p>
        </w:tc>
        <w:tc>
          <w:tcPr>
            <w:tcW w:type="dxa" w:w="2260"/>
            <w:tcMar>
              <w:top w:w="80" w:type="dxa"/>
              <w:start w:w="120" w:type="dxa"/>
              <w:bottom w:w="80" w:type="dxa"/>
              <w:end w:w="120" w:type="dxa"/>
            </w:tcMar>
            <w:vAlign w:val="center"/>
          </w:tcPr>
          <w:p>
            <w:pPr>
              <w:spacing w:after="0" w:line="240" w:lineRule="auto"/>
              <w:jc w:val="center"/>
            </w:pPr>
            <w:r>
              <w:rPr>
                <w:rFonts w:ascii="Calibri" w:hAnsi="Calibri"/>
                <w:b w:val="0"/>
                <w:color w:val="000000"/>
                <w:sz w:val="19"/>
              </w:rPr>
              <w:t>R$ 750,00 na entrega</w:t>
            </w:r>
          </w:p>
        </w:tc>
      </w:tr>
      <w:tr>
        <w:tc>
          <w:tcPr>
            <w:tcW w:type="dxa" w:w="3300"/>
            <w:shd w:fill="F2F4F7"/>
            <w:tcMar>
              <w:top w:w="80" w:type="dxa"/>
              <w:start w:w="120" w:type="dxa"/>
              <w:bottom w:w="80" w:type="dxa"/>
              <w:end w:w="120" w:type="dxa"/>
            </w:tcMar>
            <w:vAlign w:val="center"/>
          </w:tcPr>
          <w:p>
            <w:pPr>
              <w:spacing w:after="0" w:line="240" w:lineRule="auto"/>
              <w:jc w:val="left"/>
            </w:pPr>
            <w:r>
              <w:rPr>
                <w:rFonts w:ascii="Calibri" w:hAnsi="Calibri"/>
                <w:b/>
                <w:color w:val="000000"/>
                <w:sz w:val="19"/>
              </w:rPr>
              <w:t>TOTAL</w:t>
            </w:r>
          </w:p>
        </w:tc>
        <w:tc>
          <w:tcPr>
            <w:tcW w:type="dxa" w:w="1600"/>
            <w:shd w:fill="F2F4F7"/>
            <w:tcMar>
              <w:top w:w="80" w:type="dxa"/>
              <w:start w:w="120" w:type="dxa"/>
              <w:bottom w:w="80" w:type="dxa"/>
              <w:end w:w="120" w:type="dxa"/>
            </w:tcMar>
            <w:vAlign w:val="center"/>
          </w:tcPr>
          <w:p>
            <w:pPr>
              <w:spacing w:after="0" w:line="240" w:lineRule="auto"/>
              <w:jc w:val="center"/>
            </w:pPr>
            <w:r>
              <w:rPr>
                <w:rFonts w:ascii="Calibri" w:hAnsi="Calibri"/>
                <w:b/>
                <w:color w:val="000000"/>
                <w:sz w:val="19"/>
              </w:rPr>
              <w:t>R$ 9.000,00</w:t>
            </w:r>
          </w:p>
        </w:tc>
        <w:tc>
          <w:tcPr>
            <w:tcW w:type="dxa" w:w="2200"/>
            <w:shd w:fill="F2F4F7"/>
            <w:tcMar>
              <w:top w:w="80" w:type="dxa"/>
              <w:start w:w="120" w:type="dxa"/>
              <w:bottom w:w="80" w:type="dxa"/>
              <w:end w:w="120" w:type="dxa"/>
            </w:tcMar>
            <w:vAlign w:val="center"/>
          </w:tcPr>
          <w:p>
            <w:pPr>
              <w:spacing w:after="0" w:line="240" w:lineRule="auto"/>
              <w:jc w:val="center"/>
            </w:pPr>
            <w:r>
              <w:rPr>
                <w:rFonts w:ascii="Calibri" w:hAnsi="Calibri"/>
                <w:b/>
                <w:color w:val="000000"/>
                <w:sz w:val="19"/>
              </w:rPr>
              <w:t>R$ 4.500,00</w:t>
            </w:r>
          </w:p>
        </w:tc>
        <w:tc>
          <w:tcPr>
            <w:tcW w:type="dxa" w:w="2260"/>
            <w:shd w:fill="F2F4F7"/>
            <w:tcMar>
              <w:top w:w="80" w:type="dxa"/>
              <w:start w:w="120" w:type="dxa"/>
              <w:bottom w:w="80" w:type="dxa"/>
              <w:end w:w="120" w:type="dxa"/>
            </w:tcMar>
            <w:vAlign w:val="center"/>
          </w:tcPr>
          <w:p>
            <w:pPr>
              <w:spacing w:after="0" w:line="240" w:lineRule="auto"/>
              <w:jc w:val="center"/>
            </w:pPr>
            <w:r>
              <w:rPr>
                <w:rFonts w:ascii="Calibri" w:hAnsi="Calibri"/>
                <w:b/>
                <w:color w:val="000000"/>
                <w:sz w:val="19"/>
              </w:rPr>
              <w:t>R$ 4.500,00</w:t>
            </w:r>
          </w:p>
        </w:tc>
      </w:tr>
    </w:tbl>
    <w:p>
      <w:pPr>
        <w:widowControl/>
        <w:spacing w:before="0" w:after="120" w:line="264" w:lineRule="auto"/>
        <w:jc w:val="both"/>
      </w:pPr>
      <w:r>
        <w:rPr>
          <w:rFonts w:ascii="Calibri" w:hAnsi="Calibri"/>
          <w:color w:val="000000"/>
          <w:sz w:val="22"/>
        </w:rPr>
        <w:t>6.2. A parcela final do chatbot vencerá em até 2 (dois) dias úteis da comunicação escrita de que a solução foi implantada e disponibilizada. A ausência de apontamento técnico fundamentado em até 2 (dois) dias úteis caracterizará aceite para fins de pagamento, sem prejuízo da garantia prevista na Cláusula 4ª.</w:t>
      </w:r>
    </w:p>
    <w:p>
      <w:pPr>
        <w:widowControl/>
        <w:spacing w:before="0" w:after="120" w:line="264" w:lineRule="auto"/>
        <w:jc w:val="both"/>
      </w:pPr>
      <w:r>
        <w:rPr>
          <w:rFonts w:ascii="Calibri" w:hAnsi="Calibri"/>
          <w:color w:val="000000"/>
          <w:sz w:val="22"/>
        </w:rPr>
        <w:t>6.3. Os pagamentos serão realizados por transferência, PIX ou outro meio indicado por escrito pelo CONTRATADO, mediante emissão do documento fiscal cabível. Tributos próprios de cada Parte serão por ela suportados.</w:t>
      </w:r>
    </w:p>
    <w:p>
      <w:pPr>
        <w:widowControl/>
        <w:spacing w:before="0" w:after="120" w:line="264" w:lineRule="auto"/>
        <w:jc w:val="both"/>
      </w:pPr>
      <w:r>
        <w:rPr>
          <w:rFonts w:ascii="Calibri" w:hAnsi="Calibri"/>
          <w:color w:val="000000"/>
          <w:sz w:val="22"/>
        </w:rPr>
        <w:t>6.4. O atraso acarretará multa moratória de 2% (dois por cento), juros de 1% (um por cento) ao mês calculados pro rata die e atualização pelo IPCA. Após 3 (três) dias úteis de atraso e aviso escrito, o CONTRATADO poderá suspender os serviços até a regularização, sem assumir responsabilidade pela perda de janela de mídia ou desempenho durante a suspensão.</w:t>
      </w:r>
    </w:p>
    <w:p>
      <w:pPr>
        <w:pStyle w:val="Heading1"/>
        <w:keepNext/>
      </w:pPr>
      <w:r>
        <w:t>CLÁUSULA 7ª - VERBA DE MÍDIA, CONTAS E PLATAFORMAS</w:t>
      </w:r>
    </w:p>
    <w:p>
      <w:pPr>
        <w:widowControl/>
        <w:spacing w:before="0" w:after="120" w:line="264" w:lineRule="auto"/>
        <w:jc w:val="both"/>
      </w:pPr>
      <w:r>
        <w:rPr>
          <w:rFonts w:ascii="Calibri" w:hAnsi="Calibri"/>
          <w:color w:val="000000"/>
          <w:sz w:val="22"/>
        </w:rPr>
        <w:t>7.1. A verba de mídia estimada em R$ 60.000,00 (sessenta mil reais) não integra a remuneração do CONTRATADO, não constitui receita sua e não será por ele recebida, custodiada, adiantada ou intermediada.</w:t>
      </w:r>
    </w:p>
    <w:p>
      <w:pPr>
        <w:widowControl/>
        <w:spacing w:before="0" w:after="120" w:line="264" w:lineRule="auto"/>
        <w:jc w:val="both"/>
      </w:pPr>
      <w:r>
        <w:rPr>
          <w:rFonts w:ascii="Calibri" w:hAnsi="Calibri"/>
          <w:color w:val="000000"/>
          <w:sz w:val="22"/>
        </w:rPr>
        <w:t>7.2. A contratação do impulsionamento e o pagamento às plataformas serão realizados diretamente pela candidatura, partido, federação, coligação ou administrador financeiro da campanha, conforme a legislação eleitoral, por meio de conta publicitária, CNPJ/CPF, identificação e forma de pagamento juridicamente autorizados. Nem a CONTRATANTE nem o CONTRATADO figurarão como contratantes ou pagadores do impulsionamento quando não forem legitimados pela norma eleitoral.</w:t>
      </w:r>
    </w:p>
    <w:p>
      <w:pPr>
        <w:widowControl/>
        <w:spacing w:before="0" w:after="120" w:line="264" w:lineRule="auto"/>
        <w:jc w:val="both"/>
      </w:pPr>
      <w:r>
        <w:rPr>
          <w:rFonts w:ascii="Calibri" w:hAnsi="Calibri"/>
          <w:color w:val="000000"/>
          <w:sz w:val="22"/>
        </w:rPr>
        <w:t>7.3. A CONTRATANTE assegurará que o CONTRATADO receba apenas os acessos operacionais necessários, preferencialmente por usuários individuais e com autenticação em dois fatores, sem transferência de titularidade das contas, dados ou ativos da campanha.</w:t>
      </w:r>
    </w:p>
    <w:p>
      <w:pPr>
        <w:widowControl/>
        <w:spacing w:before="0" w:after="120" w:line="264" w:lineRule="auto"/>
        <w:jc w:val="both"/>
      </w:pPr>
      <w:r>
        <w:rPr>
          <w:rFonts w:ascii="Calibri" w:hAnsi="Calibri"/>
          <w:color w:val="000000"/>
          <w:sz w:val="22"/>
        </w:rPr>
        <w:t>7.4. O orçamento de R$ 60.000,00 é estimativo. O CONTRATADO não poderá aumentá-lo nem assumir despesa em nome da CONTRATANTE ou da Campanha Beneficiária sem autorização escrita da pessoa legitimada. Saldo não consumido permanecerá sob controle do titular da conta/plataforma.</w:t>
      </w:r>
    </w:p>
    <w:p>
      <w:pPr>
        <w:pStyle w:val="Heading1"/>
        <w:keepNext/>
      </w:pPr>
      <w:r>
        <w:t>CLÁUSULA 8ª - OBRIGAÇÕES DO CONTRATADO, AUTONOMIA E EQUIPE</w:t>
      </w:r>
    </w:p>
    <w:p>
      <w:pPr>
        <w:widowControl/>
        <w:spacing w:before="0" w:after="120" w:line="264" w:lineRule="auto"/>
        <w:jc w:val="both"/>
      </w:pPr>
      <w:r>
        <w:rPr>
          <w:rFonts w:ascii="Calibri" w:hAnsi="Calibri"/>
          <w:color w:val="000000"/>
          <w:sz w:val="22"/>
        </w:rPr>
        <w:t>8.1. O CONTRATADO executará o objeto com diligência técnica, manterá comunicação operacional, protegerá os acessos sob sua guarda e observará as aprovações, o orçamento autorizado e as normas aplicáveis.</w:t>
      </w:r>
    </w:p>
    <w:p>
      <w:pPr>
        <w:widowControl/>
        <w:spacing w:before="0" w:after="120" w:line="264" w:lineRule="auto"/>
        <w:jc w:val="both"/>
      </w:pPr>
      <w:r>
        <w:rPr>
          <w:rFonts w:ascii="Calibri" w:hAnsi="Calibri"/>
          <w:color w:val="000000"/>
          <w:sz w:val="22"/>
        </w:rPr>
        <w:t>8.2. Dentro desses limites, terá autonomia para estruturar campanhas, distribuir orçamento entre conjuntos e anúncios, testar públicos, ajustar segmentações lícitas, pausar ou ativar veiculações e substituir materiais por versões já aprovadas, sempre com finalidade de otimização técnica.</w:t>
      </w:r>
    </w:p>
    <w:p>
      <w:pPr>
        <w:widowControl/>
        <w:spacing w:before="0" w:after="120" w:line="264" w:lineRule="auto"/>
        <w:jc w:val="both"/>
      </w:pPr>
      <w:r>
        <w:rPr>
          <w:rFonts w:ascii="Calibri" w:hAnsi="Calibri"/>
          <w:color w:val="000000"/>
          <w:sz w:val="22"/>
        </w:rPr>
        <w:t>8.3. A autonomia não autoriza alterar posicionamento político, criar alegações factuais, publicar conteúdo não aprovado, ampliar o orçamento, contratar mídia em nome próprio ou praticar ato reservado ao candidato, partido, federação, coligação, administrador financeiro, advogado ou contador da campanha.</w:t>
      </w:r>
    </w:p>
    <w:p>
      <w:pPr>
        <w:widowControl/>
        <w:spacing w:before="0" w:after="120" w:line="264" w:lineRule="auto"/>
        <w:jc w:val="both"/>
      </w:pPr>
      <w:r>
        <w:rPr>
          <w:rFonts w:ascii="Calibri" w:hAnsi="Calibri"/>
          <w:color w:val="000000"/>
          <w:sz w:val="22"/>
        </w:rPr>
        <w:t>8.4. O CONTRATADO poderá utilizar empregados, parceiros ou prestadores especializados na execução parcial, sob sua coordenação e responsabilidade contratual, exigindo-lhes deveres compatíveis de confidencialidade, segurança e proteção de dados, sem formação de vínculo com a CONTRATANTE.</w:t>
      </w:r>
    </w:p>
    <w:p>
      <w:pPr>
        <w:pStyle w:val="Heading1"/>
        <w:keepNext/>
      </w:pPr>
      <w:r>
        <w:t>CLÁUSULA 9ª - OBRIGAÇÕES DA CONTRATANTE E APROVAÇÃO DE CONTEÚDO</w:t>
      </w:r>
    </w:p>
    <w:p>
      <w:pPr>
        <w:widowControl/>
        <w:spacing w:before="0" w:after="120" w:line="264" w:lineRule="auto"/>
        <w:jc w:val="both"/>
      </w:pPr>
      <w:r>
        <w:rPr>
          <w:rFonts w:ascii="Calibri" w:hAnsi="Calibri"/>
          <w:color w:val="000000"/>
          <w:sz w:val="22"/>
        </w:rPr>
        <w:t>9.1. Compete à CONTRATANTE: indicar interlocutor com poder de decisão; fornecer materiais, base de conhecimento, acessos e autorizações; obter validações da campanha e de seus assessores; manter os meios de pagamento das plataformas; e quitar pontualmente a remuneração.</w:t>
      </w:r>
    </w:p>
    <w:p>
      <w:pPr>
        <w:widowControl/>
        <w:spacing w:before="0" w:after="120" w:line="264" w:lineRule="auto"/>
        <w:jc w:val="both"/>
      </w:pPr>
      <w:r>
        <w:rPr>
          <w:rFonts w:ascii="Calibri" w:hAnsi="Calibri"/>
          <w:color w:val="000000"/>
          <w:sz w:val="22"/>
        </w:rPr>
        <w:t>9.2. A CONTRATANTE responde pela origem, veracidade, atualização, legalidade e regularidade de biografias, propostas, números, pesquisas, imagens, músicas, marcas, depoimentos, alegações, comparações e demais conteúdos fornecidos, declarando possuir os direitos e autorizações necessários.</w:t>
      </w:r>
    </w:p>
    <w:p>
      <w:pPr>
        <w:widowControl/>
        <w:spacing w:before="0" w:after="120" w:line="264" w:lineRule="auto"/>
        <w:jc w:val="both"/>
      </w:pPr>
      <w:r>
        <w:rPr>
          <w:rFonts w:ascii="Calibri" w:hAnsi="Calibri"/>
          <w:color w:val="000000"/>
          <w:sz w:val="22"/>
        </w:rPr>
        <w:t>9.3. Conteúdo político ou factual novo dependerá de aprovação expressa antes da primeira veiculação. O silêncio não importará aprovação. Após o aceite, o CONTRATADO poderá realizar ajustes técnicos e utilizar variações previamente aprovadas, sem alterar o sentido político, jurídico ou factual do material.</w:t>
      </w:r>
    </w:p>
    <w:p>
      <w:pPr>
        <w:widowControl/>
        <w:spacing w:before="0" w:after="120" w:line="264" w:lineRule="auto"/>
        <w:jc w:val="both"/>
      </w:pPr>
      <w:r>
        <w:rPr>
          <w:rFonts w:ascii="Calibri" w:hAnsi="Calibri"/>
          <w:color w:val="000000"/>
          <w:sz w:val="22"/>
        </w:rPr>
        <w:t>9.4. Atrasos, omissões ou retrabalho decorrentes de material incompleto, incorreto ou aprovado tardiamente poderão afetar o cronograma e a performance, sem responsabilidade do CONTRATADO.</w:t>
      </w:r>
    </w:p>
    <w:p>
      <w:pPr>
        <w:pStyle w:val="Heading1"/>
        <w:keepNext/>
      </w:pPr>
      <w:r>
        <w:t>CLÁUSULA 10ª - COMPLIANCE ELEITORAL</w:t>
      </w:r>
    </w:p>
    <w:p>
      <w:pPr>
        <w:widowControl/>
        <w:spacing w:before="0" w:after="120" w:line="264" w:lineRule="auto"/>
        <w:jc w:val="both"/>
      </w:pPr>
      <w:r>
        <w:rPr>
          <w:rFonts w:ascii="Calibri" w:hAnsi="Calibri"/>
          <w:color w:val="000000"/>
          <w:sz w:val="22"/>
        </w:rPr>
        <w:t>10.1. As Partes observarão a Lei nº 9.504/1997, a Resolução TSE nº 23.610/2019 e suas alterações aplicáveis às Eleições 2026, a regulamentação de arrecadação, gastos e prestação de contas eleitorais, as decisões da Justiça Eleitoral e as políticas das plataformas.</w:t>
      </w:r>
    </w:p>
    <w:p>
      <w:pPr>
        <w:widowControl/>
        <w:spacing w:before="0" w:after="120" w:line="264" w:lineRule="auto"/>
        <w:jc w:val="both"/>
      </w:pPr>
      <w:r>
        <w:rPr>
          <w:rFonts w:ascii="Calibri" w:hAnsi="Calibri"/>
          <w:color w:val="000000"/>
          <w:sz w:val="22"/>
        </w:rPr>
        <w:t>10.2. A CONTRATANTE assegurará que a conta, a contratação, a identificação e o pagamento do impulsionamento sejam vinculados ao sujeito eleitoral legitimado; que as peças contenham as identificações obrigatórias, inclusive a expressão e o CNPJ/CPF exigidos; e que os endereços eletrônicos e gastos sejam informados e documentados pela campanha quando necessário.</w:t>
      </w:r>
    </w:p>
    <w:p>
      <w:pPr>
        <w:widowControl/>
        <w:spacing w:before="0" w:after="120" w:line="264" w:lineRule="auto"/>
        <w:jc w:val="both"/>
      </w:pPr>
      <w:r>
        <w:rPr>
          <w:rFonts w:ascii="Calibri" w:hAnsi="Calibri"/>
          <w:color w:val="000000"/>
          <w:sz w:val="22"/>
        </w:rPr>
        <w:t>10.3. É vedado solicitar ao CONTRATADO propaganda paga negativa, uso de palavra-chave de adversário quando proibido, conteúdo sabidamente falso, gravemente descontextualizado, ofensivo ou ilícito, disparo em massa irregular, uso indevido de dados, manipulação proibida ou conteúdo sintético em desacordo com deveres de rotulagem e demais regras eleitorais.</w:t>
      </w:r>
    </w:p>
    <w:p>
      <w:pPr>
        <w:widowControl/>
        <w:spacing w:before="0" w:after="120" w:line="264" w:lineRule="auto"/>
        <w:jc w:val="both"/>
      </w:pPr>
      <w:r>
        <w:rPr>
          <w:rFonts w:ascii="Calibri" w:hAnsi="Calibri"/>
          <w:color w:val="000000"/>
          <w:sz w:val="22"/>
        </w:rPr>
        <w:t>10.4. O chatbot não substitui canal oficial de informação jurídica, eleitoral ou de atendimento. Seu conteúdo deverá corresponder à base aprovada e não poderá ser utilizado para ocultar autoria, simular pessoa real ou disseminar informação não validada.</w:t>
      </w:r>
    </w:p>
    <w:p>
      <w:pPr>
        <w:widowControl/>
        <w:spacing w:before="0" w:after="120" w:line="264" w:lineRule="auto"/>
        <w:jc w:val="both"/>
      </w:pPr>
      <w:r>
        <w:rPr>
          <w:rFonts w:ascii="Calibri" w:hAnsi="Calibri"/>
          <w:color w:val="000000"/>
          <w:sz w:val="22"/>
        </w:rPr>
        <w:t>10.5. A revisão jurídica eleitoral, a contabilidade da campanha, a documentação do gasto e a prestação de contas não integram o escopo do CONTRATADO. A CONTRATANTE deverá submeter os fluxos e materiais aos profissionais responsáveis da campanha sempre que necessário.</w:t>
      </w:r>
    </w:p>
    <w:p>
      <w:pPr>
        <w:pStyle w:val="Heading1"/>
        <w:keepNext/>
      </w:pPr>
      <w:r>
        <w:t>CLÁUSULA 11ª - PLATAFORMAS DE TERCEIROS E AUSÊNCIA DE GARANTIA DE RESULTADO</w:t>
      </w:r>
    </w:p>
    <w:p>
      <w:pPr>
        <w:widowControl/>
        <w:spacing w:before="0" w:after="120" w:line="264" w:lineRule="auto"/>
        <w:jc w:val="both"/>
      </w:pPr>
      <w:r>
        <w:rPr>
          <w:rFonts w:ascii="Calibri" w:hAnsi="Calibri"/>
          <w:color w:val="000000"/>
          <w:sz w:val="22"/>
        </w:rPr>
        <w:t>11.1. As Partes reconhecem que Meta, Google e demais provedores controlam seus sistemas, políticas, leilões, disponibilidade, moderação, cobrança e algoritmos, podendo reprovar anúncios, limitar alcance, suspender contas, exigir verificações ou alterar funcionalidades sem ingerência do CONTRATADO.</w:t>
      </w:r>
    </w:p>
    <w:p>
      <w:pPr>
        <w:widowControl/>
        <w:spacing w:before="0" w:after="120" w:line="264" w:lineRule="auto"/>
        <w:jc w:val="both"/>
      </w:pPr>
      <w:r>
        <w:rPr>
          <w:rFonts w:ascii="Calibri" w:hAnsi="Calibri"/>
          <w:color w:val="000000"/>
          <w:sz w:val="22"/>
        </w:rPr>
        <w:t>11.2. O CONTRATADO adotará esforços razoáveis para diagnóstico e regularização de ocorrências relacionadas ao seu trabalho, mas não responde por atos de terceiros, indisponibilidades, mudanças de política, falhas de conta ou bloqueios que não decorram de conduta comprovadamente culposa ou dolosa sua.</w:t>
      </w:r>
    </w:p>
    <w:p>
      <w:pPr>
        <w:widowControl/>
        <w:spacing w:before="0" w:after="120" w:line="264" w:lineRule="auto"/>
        <w:jc w:val="both"/>
      </w:pPr>
      <w:r>
        <w:rPr>
          <w:rFonts w:ascii="Calibri" w:hAnsi="Calibri"/>
          <w:color w:val="000000"/>
          <w:sz w:val="22"/>
        </w:rPr>
        <w:t>11.3. Não há garantia de alcance, impressões, cliques, custo, seguidores, leads, intenção de voto, votos ou eleição, pois os resultados dependem de fatores externos, como qualidade e aprovação dos materiais, reputação, cenário político, concorrência, orçamento, público, plataforma e acontecimentos supervenientes.</w:t>
      </w:r>
    </w:p>
    <w:p>
      <w:pPr>
        <w:pStyle w:val="Heading1"/>
        <w:keepNext/>
      </w:pPr>
      <w:r>
        <w:t>CLÁUSULA 12ª - PROTEÇÃO DE DADOS, PRIVACIDADE E SEGURANÇA</w:t>
      </w:r>
    </w:p>
    <w:p>
      <w:pPr>
        <w:widowControl/>
        <w:spacing w:before="0" w:after="120" w:line="264" w:lineRule="auto"/>
        <w:jc w:val="both"/>
      </w:pPr>
      <w:r>
        <w:rPr>
          <w:rFonts w:ascii="Calibri" w:hAnsi="Calibri"/>
          <w:color w:val="000000"/>
          <w:sz w:val="22"/>
        </w:rPr>
        <w:t>12.1. Cada Parte tratará dados pessoais em conformidade com a Lei nº 13.709/2018 (LGPD), adotando medidas técnicas e administrativas proporcionais aos riscos e utilizando os dados somente para finalidades legítimas e compatíveis com este contrato.</w:t>
      </w:r>
    </w:p>
    <w:p>
      <w:pPr>
        <w:widowControl/>
        <w:spacing w:before="0" w:after="120" w:line="264" w:lineRule="auto"/>
        <w:jc w:val="both"/>
      </w:pPr>
      <w:r>
        <w:rPr>
          <w:rFonts w:ascii="Calibri" w:hAnsi="Calibri"/>
          <w:color w:val="000000"/>
          <w:sz w:val="22"/>
        </w:rPr>
        <w:t>12.2. Quando tratar dados pessoais por instrução da CONTRATANTE ou da Campanha Beneficiária, o CONTRATADO atuará como operador, limitado às instruções lícitas e documentadas. A CONTRATANTE, como controladora ou interlocutora do controlador, responderá pela base legal, transparência, origem das listas, atendimento a titulares e decisões sobre finalidade e retenção.</w:t>
      </w:r>
    </w:p>
    <w:p>
      <w:pPr>
        <w:widowControl/>
        <w:spacing w:before="0" w:after="120" w:line="264" w:lineRule="auto"/>
        <w:jc w:val="both"/>
      </w:pPr>
      <w:r>
        <w:rPr>
          <w:rFonts w:ascii="Calibri" w:hAnsi="Calibri"/>
          <w:color w:val="000000"/>
          <w:sz w:val="22"/>
        </w:rPr>
        <w:t>12.3. O chatbot não será intencionalmente configurado para solicitar ou armazenar nome, e-mail, telefone, WhatsApp ou outro dado identificador do usuário. Registros técnicos eventualmente gerados pelo site, hospedagem, ferramenta, cookies ou infraestrutura de terceiros não se confundem com coleta intencional pelo fluxo do chatbot e deverão ser avaliados e informados pelo responsável pelo site.</w:t>
      </w:r>
    </w:p>
    <w:p>
      <w:pPr>
        <w:widowControl/>
        <w:spacing w:before="0" w:after="120" w:line="264" w:lineRule="auto"/>
        <w:jc w:val="both"/>
      </w:pPr>
      <w:r>
        <w:rPr>
          <w:rFonts w:ascii="Calibri" w:hAnsi="Calibri"/>
          <w:color w:val="000000"/>
          <w:sz w:val="22"/>
        </w:rPr>
        <w:t>12.4. Incidente de segurança relevante conhecido por uma Parte e relacionado ao objeto será comunicado à outra sem demora indevida, com cooperação razoável para contenção e cumprimento das obrigações legais. Encerrado o contrato, os acessos serão revogados e dados sob controle do CONTRATADO serão devolvidos ou eliminados, ressalvadas obrigações legais e cópias de segurança temporárias.</w:t>
      </w:r>
    </w:p>
    <w:p>
      <w:pPr>
        <w:pStyle w:val="Heading1"/>
        <w:keepNext/>
      </w:pPr>
      <w:r>
        <w:t>CLÁUSULA 13ª - PROPRIEDADE INTELECTUAL E CÓDIGO-FONTE</w:t>
      </w:r>
    </w:p>
    <w:p>
      <w:pPr>
        <w:widowControl/>
        <w:spacing w:before="0" w:after="120" w:line="264" w:lineRule="auto"/>
        <w:jc w:val="both"/>
      </w:pPr>
      <w:r>
        <w:rPr>
          <w:rFonts w:ascii="Calibri" w:hAnsi="Calibri"/>
          <w:color w:val="000000"/>
          <w:sz w:val="22"/>
        </w:rPr>
        <w:t>13.1. Permanecem pertencentes a cada Parte seus materiais, marcas, contas, bases, métodos, modelos, bibliotecas, rotinas, ferramentas, know-how e demais ativos preexistentes.</w:t>
      </w:r>
    </w:p>
    <w:p>
      <w:pPr>
        <w:widowControl/>
        <w:spacing w:before="0" w:after="120" w:line="264" w:lineRule="auto"/>
        <w:jc w:val="both"/>
      </w:pPr>
      <w:r>
        <w:rPr>
          <w:rFonts w:ascii="Calibri" w:hAnsi="Calibri"/>
          <w:color w:val="000000"/>
          <w:sz w:val="22"/>
        </w:rPr>
        <w:t>13.2. Após o pagamento integral, a CONTRATANTE poderá utilizar, para a Campanha Beneficiária e durante a finalidade eleitoral contratada, os materiais finais especificamente produzidos e entregues no escopo, respeitados direitos de terceiros e componentes licenciados.</w:t>
      </w:r>
    </w:p>
    <w:p>
      <w:pPr>
        <w:widowControl/>
        <w:spacing w:before="0" w:after="120" w:line="264" w:lineRule="auto"/>
        <w:jc w:val="both"/>
      </w:pPr>
      <w:r>
        <w:rPr>
          <w:rFonts w:ascii="Calibri" w:hAnsi="Calibri"/>
          <w:color w:val="000000"/>
          <w:sz w:val="22"/>
        </w:rPr>
        <w:t>13.3. A entrega do chatbot limita-se à solução implantada e funcional. Não há cessão nem obrigação de entrega de código-fonte, repositórios, arquivos de desenvolvimento, credenciais internas, bibliotecas, componentes reutilizáveis, arquitetura, documentação técnica interna, prompts, modelos, métodos ou ferramentas do CONTRATADO ou de terceiros.</w:t>
      </w:r>
    </w:p>
    <w:p>
      <w:pPr>
        <w:widowControl/>
        <w:spacing w:before="0" w:after="120" w:line="264" w:lineRule="auto"/>
        <w:jc w:val="both"/>
      </w:pPr>
      <w:r>
        <w:rPr>
          <w:rFonts w:ascii="Calibri" w:hAnsi="Calibri"/>
          <w:color w:val="000000"/>
          <w:sz w:val="22"/>
        </w:rPr>
        <w:t>13.4. O uso do chatbot implantado é licenciado de forma não exclusiva e intransferível para o site e a finalidade deste contrato, após pagamento integral. Custos e continuidade de hospedagem, domínio, ferramenta ou licença de terceiros dependem das contas e contratações do respectivo titular e não integram manutenção do CONTRATADO.</w:t>
      </w:r>
    </w:p>
    <w:p>
      <w:pPr>
        <w:pStyle w:val="Heading1"/>
        <w:keepNext/>
      </w:pPr>
      <w:r>
        <w:t>CLÁUSULA 14ª - CONFIDENCIALIDADE E RESPONSABILIDADES</w:t>
      </w:r>
    </w:p>
    <w:p>
      <w:pPr>
        <w:widowControl/>
        <w:spacing w:before="0" w:after="120" w:line="264" w:lineRule="auto"/>
        <w:jc w:val="both"/>
      </w:pPr>
      <w:r>
        <w:rPr>
          <w:rFonts w:ascii="Calibri" w:hAnsi="Calibri"/>
          <w:color w:val="000000"/>
          <w:sz w:val="22"/>
        </w:rPr>
        <w:t>14.1. As Partes manterão confidenciais, durante a vigência e por 5 (cinco) anos após seu término, estratégias, credenciais, relatórios não públicos, materiais ainda não divulgados, dados, preços e informações identificadas ou razoavelmente compreendidas como confidenciais. Segredos comerciais e credenciais permanecerão protegidos enquanto conservarem essa natureza.</w:t>
      </w:r>
    </w:p>
    <w:p>
      <w:pPr>
        <w:widowControl/>
        <w:spacing w:before="0" w:after="120" w:line="264" w:lineRule="auto"/>
        <w:jc w:val="both"/>
      </w:pPr>
      <w:r>
        <w:rPr>
          <w:rFonts w:ascii="Calibri" w:hAnsi="Calibri"/>
          <w:color w:val="000000"/>
          <w:sz w:val="22"/>
        </w:rPr>
        <w:t>14.2. A confidencialidade não alcança informação pública sem violação deste contrato, já conhecida legitimamente, recebida licitamente de terceiro ou cuja divulgação seja exigida por lei ou autoridade, hipótese em que, quando permitido, a outra Parte será previamente comunicada.</w:t>
      </w:r>
    </w:p>
    <w:p>
      <w:pPr>
        <w:widowControl/>
        <w:spacing w:before="0" w:after="120" w:line="264" w:lineRule="auto"/>
        <w:jc w:val="both"/>
      </w:pPr>
      <w:r>
        <w:rPr>
          <w:rFonts w:ascii="Calibri" w:hAnsi="Calibri"/>
          <w:color w:val="000000"/>
          <w:sz w:val="22"/>
        </w:rPr>
        <w:t>14.3. Cada Parte responderá pelos danos diretos comprovadamente causados por descumprimento de suas obrigações. Salvo dolo, fraude, violação de confidencialidade, propriedade intelectual, proteção de dados ou obrigação de pagamento, a responsabilidade total do CONTRATADO ficará limitada ao valor efetivamente pago a ele neste contrato, excluídos danos indiretos, lucros cessantes, perda de chance eleitoral e danos decorrentes de fatos fora de seu controle razoável.</w:t>
      </w:r>
    </w:p>
    <w:p>
      <w:pPr>
        <w:widowControl/>
        <w:spacing w:before="0" w:after="120" w:line="264" w:lineRule="auto"/>
        <w:jc w:val="both"/>
      </w:pPr>
      <w:r>
        <w:rPr>
          <w:rFonts w:ascii="Calibri" w:hAnsi="Calibri"/>
          <w:color w:val="000000"/>
          <w:sz w:val="22"/>
        </w:rPr>
        <w:t>14.4. Este instrumento não cria sociedade, representação, mandato geral, exclusividade, vínculo empregatício ou solidariedade entre as Partes, suas equipes e a Campanha Beneficiária.</w:t>
      </w:r>
    </w:p>
    <w:p>
      <w:pPr>
        <w:pStyle w:val="Heading1"/>
        <w:keepNext/>
      </w:pPr>
      <w:r>
        <w:t>CLÁUSULA 15ª - INADIMPLEMENTO, RESCISÃO E ENCERRAMENTO</w:t>
      </w:r>
    </w:p>
    <w:p>
      <w:pPr>
        <w:widowControl/>
        <w:spacing w:before="0" w:after="120" w:line="264" w:lineRule="auto"/>
        <w:jc w:val="both"/>
      </w:pPr>
      <w:r>
        <w:rPr>
          <w:rFonts w:ascii="Calibri" w:hAnsi="Calibri"/>
          <w:color w:val="000000"/>
          <w:sz w:val="22"/>
        </w:rPr>
        <w:t>15.1. O descumprimento material deverá ser sanado em até 3 (três) dias úteis após notificação escrita, quando a correção for possível. Persistindo a falha, a Parte adimplente poderá rescindir o contrato e exigir as obrigações vencidas e perdas diretas comprovadas.</w:t>
      </w:r>
    </w:p>
    <w:p>
      <w:pPr>
        <w:widowControl/>
        <w:spacing w:before="0" w:after="120" w:line="264" w:lineRule="auto"/>
        <w:jc w:val="both"/>
      </w:pPr>
      <w:r>
        <w:rPr>
          <w:rFonts w:ascii="Calibri" w:hAnsi="Calibri"/>
          <w:color w:val="000000"/>
          <w:sz w:val="22"/>
        </w:rPr>
        <w:t>15.2. A rescisão poderá ser imediata em caso de ordem ilícita, fraude, violação eleitoral grave, uso indevido de dados ou credenciais, quebra relevante de confidencialidade, insolvência ou conduta que exponha a outra Parte a risco jurídico ou reputacional grave.</w:t>
      </w:r>
    </w:p>
    <w:p>
      <w:pPr>
        <w:widowControl/>
        <w:spacing w:before="0" w:after="120" w:line="264" w:lineRule="auto"/>
        <w:jc w:val="both"/>
      </w:pPr>
      <w:r>
        <w:rPr>
          <w:rFonts w:ascii="Calibri" w:hAnsi="Calibri"/>
          <w:color w:val="000000"/>
          <w:sz w:val="22"/>
        </w:rPr>
        <w:t>15.3. Se a CONTRATANTE rescindir sem justa causa antes de 29 de setembro de 2026, serão devidos os valores vencidos, o valor proporcional dos serviços já executados e multa compensatória de 20% (vinte por cento) sobre o saldo de remuneração ainda não vencido. A multa não incidirá se a rescisão decorrer de inadimplemento material não sanado do CONTRATADO.</w:t>
      </w:r>
    </w:p>
    <w:p>
      <w:pPr>
        <w:widowControl/>
        <w:spacing w:before="0" w:after="120" w:line="264" w:lineRule="auto"/>
        <w:jc w:val="both"/>
      </w:pPr>
      <w:r>
        <w:rPr>
          <w:rFonts w:ascii="Calibri" w:hAnsi="Calibri"/>
          <w:color w:val="000000"/>
          <w:sz w:val="22"/>
        </w:rPr>
        <w:t>15.4. Se evento eleitoral superveniente alheio às Partes tornar o objeto definitivamente impossível, serão devidos apenas os serviços executados e custos não recuperáveis previamente autorizados, com restituição de eventual saldo de remuneração antecipada não adquirido.</w:t>
      </w:r>
    </w:p>
    <w:p>
      <w:pPr>
        <w:widowControl/>
        <w:spacing w:before="0" w:after="120" w:line="264" w:lineRule="auto"/>
        <w:jc w:val="both"/>
      </w:pPr>
      <w:r>
        <w:rPr>
          <w:rFonts w:ascii="Calibri" w:hAnsi="Calibri"/>
          <w:color w:val="000000"/>
          <w:sz w:val="22"/>
        </w:rPr>
        <w:t>15.5. No encerramento, o CONTRATADO interromperá a operação, entregará os materiais finais previstos e removerá seus acessos; a CONTRATANTE providenciará cópias necessárias e revogará permissões. A transferência não inclui ativos excluídos pela Cláusula 13ª nem suporte após a garantia do chatbot.</w:t>
      </w:r>
    </w:p>
    <w:p>
      <w:pPr>
        <w:pStyle w:val="Heading1"/>
        <w:keepNext/>
      </w:pPr>
      <w:r>
        <w:t>CLÁUSULA 16ª - COMUNICAÇÕES, DISPOSIÇÕES GERAIS E ASSINATURA ELETRÔNICA</w:t>
      </w:r>
    </w:p>
    <w:p>
      <w:pPr>
        <w:widowControl/>
        <w:spacing w:before="0" w:after="120" w:line="264" w:lineRule="auto"/>
        <w:jc w:val="both"/>
      </w:pPr>
      <w:r>
        <w:rPr>
          <w:rFonts w:ascii="Calibri" w:hAnsi="Calibri"/>
          <w:color w:val="000000"/>
          <w:sz w:val="22"/>
        </w:rPr>
        <w:t>16.1. Aprovações, notificações e alterações de escopo deverão ser registradas por e-mail, plataforma de gestão ou mensagem escrita nos canais oficialmente utilizados pelas Partes. Comunicações operacionais por aplicativo de mensagens terão validade quando permitirem identificar remetente, conteúdo e data.</w:t>
      </w:r>
    </w:p>
    <w:p>
      <w:pPr>
        <w:widowControl/>
        <w:spacing w:before="0" w:after="120" w:line="264" w:lineRule="auto"/>
        <w:jc w:val="both"/>
      </w:pPr>
      <w:r>
        <w:rPr>
          <w:rFonts w:ascii="Calibri" w:hAnsi="Calibri"/>
          <w:color w:val="000000"/>
          <w:sz w:val="22"/>
        </w:rPr>
        <w:t>16.2. Alterações deste contrato dependerão de instrumento escrito aceito por ambas as Partes. A tolerância não importará renúncia; a nulidade de disposição não afetará as demais; e este instrumento substitui entendimentos anteriores sobre seu objeto.</w:t>
      </w:r>
    </w:p>
    <w:p>
      <w:pPr>
        <w:widowControl/>
        <w:spacing w:before="0" w:after="120" w:line="264" w:lineRule="auto"/>
        <w:jc w:val="both"/>
      </w:pPr>
      <w:r>
        <w:rPr>
          <w:rFonts w:ascii="Calibri" w:hAnsi="Calibri"/>
          <w:color w:val="000000"/>
          <w:sz w:val="22"/>
        </w:rPr>
        <w:t>16.3. Nenhuma Parte responderá por atraso causado por força maior ou caso fortuito fora de seu controle razoável, desde que comunique o evento e adote medidas possíveis de mitigação, sem prejuízo do pagamento por serviços já executados.</w:t>
      </w:r>
    </w:p>
    <w:p>
      <w:pPr>
        <w:widowControl/>
        <w:spacing w:before="0" w:after="120" w:line="264" w:lineRule="auto"/>
        <w:jc w:val="both"/>
      </w:pPr>
      <w:r>
        <w:rPr>
          <w:rFonts w:ascii="Calibri" w:hAnsi="Calibri"/>
          <w:color w:val="000000"/>
          <w:sz w:val="22"/>
        </w:rPr>
        <w:t>16.4. As Partes reconhecem como válidas as assinaturas eletrônicas, inclusive por plataforma que assegure autoria e integridade, bem como os registros digitais de aceite. O instrumento poderá ser assinado em vias eletrônicas e produzirá efeitos a partir da última assinatura.</w:t>
      </w:r>
    </w:p>
    <w:p>
      <w:pPr>
        <w:pStyle w:val="Heading1"/>
        <w:keepNext/>
      </w:pPr>
      <w:r>
        <w:t>CLÁUSULA 17ª - FORO</w:t>
      </w:r>
    </w:p>
    <w:p>
      <w:pPr>
        <w:widowControl/>
        <w:spacing w:before="0" w:after="120" w:line="264" w:lineRule="auto"/>
        <w:jc w:val="both"/>
      </w:pPr>
      <w:r>
        <w:rPr>
          <w:rFonts w:ascii="Calibri" w:hAnsi="Calibri"/>
          <w:color w:val="000000"/>
          <w:sz w:val="22"/>
        </w:rPr>
        <w:t>17.1. As Partes buscarão solução amigável para controvérsias. Não havendo acordo, fica eleito o foro da Comarca de Belo Horizonte/MG, com renúncia a qualquer outro, por mais privilegiado que seja, ressalvada competência legal inderrogável.</w:t>
      </w:r>
    </w:p>
    <w:p>
      <w:pPr>
        <w:widowControl/>
        <w:spacing w:before="0" w:after="240" w:line="264" w:lineRule="auto"/>
        <w:jc w:val="left"/>
      </w:pPr>
      <w:r>
        <w:rPr>
          <w:rFonts w:ascii="Calibri" w:hAnsi="Calibri"/>
          <w:color w:val="000000"/>
          <w:sz w:val="22"/>
        </w:rPr>
        <w:t>E, por estarem de acordo, as Partes assinam eletronicamente o presente instrumento, juntamente com as testemunhas abaixo, se utilizadas.</w:t>
      </w:r>
    </w:p>
    <w:p>
      <w:pPr>
        <w:widowControl/>
        <w:spacing w:before="0" w:after="360" w:line="264" w:lineRule="auto"/>
        <w:jc w:val="left"/>
      </w:pPr>
      <w:r>
        <w:rPr>
          <w:rFonts w:ascii="Calibri" w:hAnsi="Calibri"/>
          <w:color w:val="000000"/>
          <w:sz w:val="22"/>
        </w:rPr>
        <w:t>Belo Horizonte/MG, ____ de ____________________ de 2026.</w:t>
      </w:r>
    </w:p>
    <w:p>
      <w:pPr>
        <w:spacing w:before="280" w:after="20"/>
      </w:pPr>
      <w:r>
        <w:rPr>
          <w:rFonts w:ascii="Calibri" w:hAnsi="Calibri"/>
          <w:color w:val="000000"/>
          <w:sz w:val="20"/>
        </w:rPr>
        <w:t>____________________________________________</w:t>
      </w:r>
    </w:p>
    <w:p>
      <w:pPr>
        <w:spacing w:after="0"/>
      </w:pPr>
      <w:r>
        <w:rPr>
          <w:rFonts w:ascii="Calibri" w:hAnsi="Calibri"/>
          <w:b/>
          <w:color w:val="000000"/>
          <w:sz w:val="20"/>
        </w:rPr>
        <w:t>REV COMUNICACAO INTEGRADA LTDA</w:t>
      </w:r>
    </w:p>
    <w:p>
      <w:pPr>
        <w:spacing w:after="160"/>
      </w:pPr>
      <w:r>
        <w:rPr>
          <w:rFonts w:ascii="Calibri" w:hAnsi="Calibri"/>
          <w:color w:val="666666"/>
          <w:sz w:val="19"/>
        </w:rPr>
        <w:t>CONTRATANTE - Pedro Henrique Moreira Alves, Sócio-Administrador</w:t>
      </w:r>
    </w:p>
    <w:p>
      <w:pPr>
        <w:spacing w:before="280" w:after="20"/>
      </w:pPr>
      <w:r>
        <w:rPr>
          <w:rFonts w:ascii="Calibri" w:hAnsi="Calibri"/>
          <w:color w:val="000000"/>
          <w:sz w:val="20"/>
        </w:rPr>
        <w:t>____________________________________________</w:t>
      </w:r>
    </w:p>
    <w:p>
      <w:pPr>
        <w:spacing w:after="0"/>
      </w:pPr>
      <w:r>
        <w:rPr>
          <w:rFonts w:ascii="Calibri" w:hAnsi="Calibri"/>
          <w:b/>
          <w:color w:val="000000"/>
          <w:sz w:val="20"/>
        </w:rPr>
        <w:t>67.726.428 PATRICK EDUARDO LIMA SILVA</w:t>
      </w:r>
    </w:p>
    <w:p>
      <w:pPr>
        <w:spacing w:after="160"/>
      </w:pPr>
      <w:r>
        <w:rPr>
          <w:rFonts w:ascii="Calibri" w:hAnsi="Calibri"/>
          <w:color w:val="666666"/>
          <w:sz w:val="19"/>
        </w:rPr>
        <w:t>CONTRATADO - Patrick Eduardo Lima Silva, Titular</w:t>
      </w:r>
    </w:p>
    <w:p>
      <w:pPr>
        <w:widowControl/>
        <w:spacing w:before="0" w:after="160" w:line="264" w:lineRule="auto"/>
        <w:jc w:val="left"/>
      </w:pPr>
      <w:r>
        <w:rPr>
          <w:rFonts w:ascii="Calibri" w:hAnsi="Calibri"/>
          <w:b/>
          <w:color w:val="000000"/>
          <w:sz w:val="22"/>
        </w:rPr>
        <w:t>TESTEMUNHAS (opcional)</w:t>
      </w:r>
      <w:r>
        <w:rPr>
          <w:rFonts w:ascii="Calibri" w:hAnsi="Calibri"/>
          <w:color w:val="000000"/>
          <w:sz w:val="22"/>
        </w:rPr>
      </w:r>
    </w:p>
    <w:p>
      <w:pPr>
        <w:spacing w:before="120" w:after="20"/>
      </w:pPr>
      <w:r>
        <w:rPr>
          <w:rFonts w:ascii="Calibri" w:hAnsi="Calibri"/>
          <w:color w:val="000000"/>
          <w:sz w:val="20"/>
        </w:rPr>
        <w:t>1. ____________________________________________</w:t>
      </w:r>
    </w:p>
    <w:p>
      <w:pPr>
        <w:spacing w:after="20"/>
        <w:ind w:left="317"/>
      </w:pPr>
      <w:r>
        <w:rPr>
          <w:rFonts w:ascii="Calibri" w:hAnsi="Calibri"/>
          <w:color w:val="000000"/>
          <w:sz w:val="19"/>
        </w:rPr>
        <w:t>Nome:</w:t>
      </w:r>
    </w:p>
    <w:p>
      <w:pPr>
        <w:spacing w:after="100"/>
        <w:ind w:left="317"/>
      </w:pPr>
      <w:r>
        <w:rPr>
          <w:rFonts w:ascii="Calibri" w:hAnsi="Calibri"/>
          <w:color w:val="000000"/>
          <w:sz w:val="19"/>
        </w:rPr>
        <w:t>CPF:</w:t>
      </w:r>
    </w:p>
    <w:p>
      <w:pPr>
        <w:spacing w:before="120" w:after="20"/>
      </w:pPr>
      <w:r>
        <w:rPr>
          <w:rFonts w:ascii="Calibri" w:hAnsi="Calibri"/>
          <w:color w:val="000000"/>
          <w:sz w:val="20"/>
        </w:rPr>
        <w:t>2. ____________________________________________</w:t>
      </w:r>
    </w:p>
    <w:p>
      <w:pPr>
        <w:spacing w:after="20"/>
        <w:ind w:left="317"/>
      </w:pPr>
      <w:r>
        <w:rPr>
          <w:rFonts w:ascii="Calibri" w:hAnsi="Calibri"/>
          <w:color w:val="000000"/>
          <w:sz w:val="19"/>
        </w:rPr>
        <w:t>Nome:</w:t>
      </w:r>
    </w:p>
    <w:p>
      <w:pPr>
        <w:spacing w:after="100"/>
        <w:ind w:left="317"/>
      </w:pPr>
      <w:r>
        <w:rPr>
          <w:rFonts w:ascii="Calibri" w:hAnsi="Calibri"/>
          <w:color w:val="000000"/>
          <w:sz w:val="19"/>
        </w:rPr>
        <w:t>CPF:</w:t>
      </w:r>
    </w:p>
    <w:sectPr w:rsidR="00FC693F" w:rsidRPr="0006063C" w:rsidSect="00034616">
      <w:headerReference w:type="default" r:id="rId9"/>
      <w:footerReference w:type="default" r:id="rId10"/>
      <w:pgSz w:w="12240" w:h="15840"/>
      <w:pgMar w:top="1181" w:right="1267" w:bottom="1123" w:left="1267"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7"/>
      </w:rPr>
      <w:t xml:space="preserve">REV COMUNICACAO INTEGRADA LTDA x 67.726.428 PATRICK EDUARDO LIMA SILVA  |  Página </w:t>
    </w:r>
    <w:r>
      <w:rPr>
        <w:rFonts w:ascii="Calibri" w:hAnsi="Calibri"/>
        <w:color w:val="666666"/>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color w:val="666666"/>
        <w:sz w:val="17"/>
      </w:rPr>
      <w:t>CONTRATO DE SERVIÇOS | ELEIÇÕES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color w:val="000000"/>
      <w:sz w:val="22"/>
      <w:lang w:val="pt-B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20" w:after="100"/>
      <w:outlineLvl w:val="0"/>
    </w:pPr>
    <w:rPr>
      <w:rFonts w:asciiTheme="majorHAnsi" w:eastAsiaTheme="majorEastAsia" w:hAnsiTheme="majorHAnsi" w:cstheme="majorBidi" w:ascii="Calibri" w:hAnsi="Calibri"/>
      <w:b/>
      <w:bCs/>
      <w:color w:val="1F4D78"/>
      <w:sz w:val="25"/>
      <w:szCs w:val="28"/>
      <w:lang w:val="pt-BR"/>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Gestão de Mídia Eleitoral e Chatbot Informativo - Eleições 2026</dc:title>
  <dc:subject>REV COMUNICACAO INTEGRADA LTDA e 67.726.428 PATRICK EDUARDO LIMA SILVA</dc:subject>
  <dc:creator/>
  <cp:keywords>contrato; mídia eleitoral; chatbot; eleições 2026</cp:keywords>
  <dc:description>generated by python-docx</dc:description>
  <cp:lastModifiedBy/>
  <cp:revision>1</cp:revision>
  <dcterms:created xsi:type="dcterms:W3CDTF">2013-12-23T23:15:00Z</dcterms:created>
  <dcterms:modified xsi:type="dcterms:W3CDTF">2013-12-23T23:15:00Z</dcterms:modified>
  <cp:category/>
</cp:coreProperties>
</file>