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6E6B" w14:textId="77777777" w:rsidR="00640FFC" w:rsidRDefault="00000000">
      <w:r>
        <w:rPr>
          <w:b/>
          <w:bCs/>
          <w:color w:val="1A1A18"/>
          <w:sz w:val="52"/>
          <w:szCs w:val="52"/>
        </w:rPr>
        <w:t>Quiet Protect</w:t>
      </w:r>
    </w:p>
    <w:p w14:paraId="629AD57D" w14:textId="77777777" w:rsidR="00640FFC" w:rsidRDefault="00000000">
      <w:pPr>
        <w:spacing w:after="240"/>
      </w:pPr>
      <w:r>
        <w:rPr>
          <w:i/>
          <w:iCs/>
          <w:color w:val="1D9E75"/>
          <w:sz w:val="32"/>
          <w:szCs w:val="32"/>
        </w:rPr>
        <w:t>Shield the people you love from email fraud.</w:t>
      </w:r>
    </w:p>
    <w:p w14:paraId="68FCF559" w14:textId="77777777" w:rsidR="00640FFC" w:rsidRDefault="00000000">
      <w:pPr>
        <w:spacing w:after="600"/>
      </w:pPr>
      <w:r>
        <w:rPr>
          <w:i/>
          <w:iCs/>
          <w:color w:val="888780"/>
          <w:sz w:val="18"/>
          <w:szCs w:val="18"/>
        </w:rPr>
        <w:t xml:space="preserve">Concept </w:t>
      </w:r>
      <w:proofErr w:type="gramStart"/>
      <w:r>
        <w:rPr>
          <w:i/>
          <w:iCs/>
          <w:color w:val="888780"/>
          <w:sz w:val="18"/>
          <w:szCs w:val="18"/>
        </w:rPr>
        <w:t>overview  —</w:t>
      </w:r>
      <w:proofErr w:type="gramEnd"/>
      <w:r>
        <w:rPr>
          <w:i/>
          <w:iCs/>
          <w:color w:val="888780"/>
          <w:sz w:val="18"/>
          <w:szCs w:val="18"/>
        </w:rPr>
        <w:t xml:space="preserve">  March </w:t>
      </w:r>
      <w:proofErr w:type="gramStart"/>
      <w:r>
        <w:rPr>
          <w:i/>
          <w:iCs/>
          <w:color w:val="888780"/>
          <w:sz w:val="18"/>
          <w:szCs w:val="18"/>
        </w:rPr>
        <w:t>2026  —</w:t>
      </w:r>
      <w:proofErr w:type="gramEnd"/>
      <w:r>
        <w:rPr>
          <w:i/>
          <w:iCs/>
          <w:color w:val="888780"/>
          <w:sz w:val="18"/>
          <w:szCs w:val="18"/>
        </w:rPr>
        <w:t xml:space="preserve">  For early feedback only, not for distribution</w:t>
      </w:r>
    </w:p>
    <w:p w14:paraId="4B5D4879" w14:textId="77777777" w:rsidR="00640FFC" w:rsidRDefault="00000000">
      <w:pPr>
        <w:pBdr>
          <w:bottom w:val="single" w:sz="4" w:space="1" w:color="DDDDDD"/>
        </w:pBdr>
        <w:spacing w:before="200" w:after="200"/>
      </w:pPr>
      <w:r>
        <w:rPr>
          <w:color w:val="FFFFFF"/>
        </w:rPr>
        <w:t xml:space="preserve"> </w:t>
      </w:r>
    </w:p>
    <w:p w14:paraId="54B22E6F" w14:textId="77777777" w:rsidR="00640FFC" w:rsidRDefault="00000000">
      <w:pPr>
        <w:spacing w:before="360" w:after="140"/>
      </w:pPr>
      <w:r>
        <w:rPr>
          <w:b/>
          <w:bCs/>
          <w:color w:val="1A1A18"/>
          <w:sz w:val="28"/>
          <w:szCs w:val="28"/>
        </w:rPr>
        <w:t>The problem</w:t>
      </w:r>
    </w:p>
    <w:p w14:paraId="52AC486B" w14:textId="77777777" w:rsidR="00640FFC" w:rsidRDefault="00000000">
      <w:r>
        <w:t>Email fraud targeting older and vulnerable adults is increasing rapidly in the UK. £1.2 billion was lost to fraud in 2023, and email remains the most common initial point of contact.</w:t>
      </w:r>
    </w:p>
    <w:p w14:paraId="36630085" w14:textId="77777777" w:rsidR="00640FFC" w:rsidRDefault="00000000">
      <w:r>
        <w:t>The tactics used are increasingly convincing. Phishing messages impersonate banks, HMRC, and delivery companies. Financial fraud emails create false urgency around payments or legal threats. Malicious links can compromise an entire device with a single click.</w:t>
      </w:r>
    </w:p>
    <w:p w14:paraId="0F17CB61" w14:textId="77777777" w:rsidR="00640FFC" w:rsidRDefault="00000000">
      <w:r>
        <w:t>Older adults are disproportionately targeted. The people most at risk are often the least familiar with the tactics being used against them — and the consequences can be devastating.</w:t>
      </w:r>
    </w:p>
    <w:p w14:paraId="1EE212A5" w14:textId="77777777" w:rsidR="00640FFC" w:rsidRDefault="00000000">
      <w:r>
        <w:t>Most email tools offer no protection against these threats. Basic junk filters catch obvious bulk mail. They don’t understand fraud.</w:t>
      </w:r>
    </w:p>
    <w:p w14:paraId="61F20594" w14:textId="77777777" w:rsidR="00640FFC" w:rsidRDefault="00000000">
      <w:pPr>
        <w:pBdr>
          <w:bottom w:val="single" w:sz="4" w:space="1" w:color="DDDDDD"/>
        </w:pBdr>
        <w:spacing w:before="200" w:after="200"/>
      </w:pPr>
      <w:r>
        <w:rPr>
          <w:color w:val="FFFFFF"/>
        </w:rPr>
        <w:t xml:space="preserve"> </w:t>
      </w:r>
    </w:p>
    <w:p w14:paraId="1CCCDD1A" w14:textId="77777777" w:rsidR="00640FFC" w:rsidRDefault="00000000">
      <w:pPr>
        <w:spacing w:before="360" w:after="140"/>
      </w:pPr>
      <w:r>
        <w:rPr>
          <w:b/>
          <w:bCs/>
          <w:color w:val="1A1A18"/>
          <w:sz w:val="28"/>
          <w:szCs w:val="28"/>
        </w:rPr>
        <w:t>What Quiet Protect is</w:t>
      </w:r>
    </w:p>
    <w:p w14:paraId="7A4AFC38" w14:textId="77777777" w:rsidR="00640FFC" w:rsidRDefault="00000000">
      <w:r>
        <w:t>Quiet Protect is a protection layer for people who are vulnerable to email-based fraud, managed by a trusted family member or carer.</w:t>
      </w:r>
    </w:p>
    <w:p w14:paraId="29BADF04" w14:textId="77777777" w:rsidR="00640FFC" w:rsidRDefault="00000000">
      <w:r>
        <w:t>It works for two people at once:</w:t>
      </w:r>
    </w:p>
    <w:p w14:paraId="010A5ADF" w14:textId="77777777" w:rsidR="00640FFC" w:rsidRDefault="00000000">
      <w:pPr>
        <w:spacing w:after="80"/>
      </w:pPr>
      <w:r>
        <w:rPr>
          <w:color w:val="FFFFFF"/>
        </w:rPr>
        <w:t xml:space="preserve"> </w:t>
      </w:r>
    </w:p>
    <w:p w14:paraId="054CDC41" w14:textId="77777777" w:rsidR="00640FFC" w:rsidRDefault="00000000">
      <w:r>
        <w:rPr>
          <w:b/>
          <w:bCs/>
          <w:color w:val="1A1A18"/>
        </w:rPr>
        <w:t>For the person being protected</w:t>
      </w:r>
      <w:r>
        <w:t xml:space="preserve"> — their inbox looks cleaner and simpler. Suspicious emails are held back quietly before they can cause harm. Their experience of email improves without any changes required from them.</w:t>
      </w:r>
    </w:p>
    <w:p w14:paraId="70AA68C7" w14:textId="77777777" w:rsidR="00640FFC" w:rsidRDefault="00000000">
      <w:r>
        <w:rPr>
          <w:b/>
          <w:bCs/>
          <w:color w:val="1A1A18"/>
        </w:rPr>
        <w:t>For the family member or carer</w:t>
      </w:r>
      <w:r>
        <w:t xml:space="preserve"> — a simple dashboard shows how many suspicious emails have been flagged, what types of fraud were detected, and when Quiet last checked. Alerts arrive if something serious is identified.</w:t>
      </w:r>
    </w:p>
    <w:p w14:paraId="54828459" w14:textId="77777777" w:rsidR="00640FFC" w:rsidRDefault="00000000">
      <w:pPr>
        <w:pBdr>
          <w:bottom w:val="single" w:sz="4" w:space="1" w:color="DDDDDD"/>
        </w:pBdr>
        <w:spacing w:before="200" w:after="200"/>
      </w:pPr>
      <w:r>
        <w:rPr>
          <w:color w:val="FFFFFF"/>
        </w:rPr>
        <w:t xml:space="preserve"> </w:t>
      </w:r>
    </w:p>
    <w:p w14:paraId="2E1C340F" w14:textId="77777777" w:rsidR="00640FFC" w:rsidRDefault="00000000">
      <w:pPr>
        <w:spacing w:before="360" w:after="140"/>
      </w:pPr>
      <w:r>
        <w:rPr>
          <w:b/>
          <w:bCs/>
          <w:color w:val="1A1A18"/>
          <w:sz w:val="28"/>
          <w:szCs w:val="28"/>
        </w:rPr>
        <w:t>A note on privacy</w:t>
      </w:r>
    </w:p>
    <w:p w14:paraId="0B05E23E" w14:textId="77777777" w:rsidR="00640FFC" w:rsidRDefault="00000000">
      <w:pPr>
        <w:spacing w:after="80"/>
      </w:pPr>
      <w:r>
        <w:rPr>
          <w:color w:val="FFFFFF"/>
        </w:rPr>
        <w:t xml:space="preserve"> </w:t>
      </w:r>
    </w:p>
    <w:tbl>
      <w:tblPr>
        <w:tblW w:w="9026" w:type="dxa"/>
        <w:tblBorders>
          <w:insideH w:val="none" w:sz="0" w:space="0" w:color="FFFFFF"/>
          <w:insideV w:val="none" w:sz="0" w:space="0" w:color="FFFFFF"/>
        </w:tblBorders>
        <w:tblLook w:val="04A0" w:firstRow="1" w:lastRow="0" w:firstColumn="1" w:lastColumn="0" w:noHBand="0" w:noVBand="1"/>
      </w:tblPr>
      <w:tblGrid>
        <w:gridCol w:w="9026"/>
      </w:tblGrid>
      <w:tr w:rsidR="00640FFC" w14:paraId="6E9129E7" w14:textId="77777777">
        <w:tc>
          <w:tcPr>
            <w:tcW w:w="9026" w:type="dxa"/>
            <w:tcBorders>
              <w:top w:val="single" w:sz="2" w:space="0" w:color="F0D080"/>
              <w:left w:val="single" w:sz="18" w:space="0" w:color="EF9F27"/>
              <w:bottom w:val="single" w:sz="2" w:space="0" w:color="F0D080"/>
              <w:right w:val="single" w:sz="2" w:space="0" w:color="F0D080"/>
            </w:tcBorders>
            <w:shd w:val="clear" w:color="auto" w:fill="FDF3E0"/>
            <w:tcMar>
              <w:top w:w="120" w:type="dxa"/>
              <w:left w:w="180" w:type="dxa"/>
              <w:bottom w:w="120" w:type="dxa"/>
              <w:right w:w="180" w:type="dxa"/>
            </w:tcMar>
          </w:tcPr>
          <w:p w14:paraId="7BC5203D" w14:textId="77777777" w:rsidR="00640FFC" w:rsidRDefault="00000000">
            <w:pPr>
              <w:spacing w:after="100"/>
            </w:pPr>
            <w:r>
              <w:rPr>
                <w:b/>
                <w:bCs/>
                <w:color w:val="1A1A18"/>
              </w:rPr>
              <w:t>The family member never sees the content of their relative’s emails.</w:t>
            </w:r>
          </w:p>
          <w:p w14:paraId="5472BB72" w14:textId="77777777" w:rsidR="00640FFC" w:rsidRDefault="00000000">
            <w:pPr>
              <w:spacing w:after="100"/>
            </w:pPr>
            <w:r>
              <w:lastRenderedPageBreak/>
              <w:t>The dashboard shows only threat summaries — how many suspicious messages were flagged, and what category of fraud was attempted. Personal messages, conversations, and correspondence remain completely private.</w:t>
            </w:r>
          </w:p>
          <w:p w14:paraId="508DE4D9" w14:textId="77777777" w:rsidR="00640FFC" w:rsidRDefault="00000000">
            <w:pPr>
              <w:spacing w:after="0"/>
            </w:pPr>
            <w:r>
              <w:t>Protection does not require access. A family member can know their relative is being looked after without reading their inbox.</w:t>
            </w:r>
          </w:p>
        </w:tc>
      </w:tr>
    </w:tbl>
    <w:p w14:paraId="52017149" w14:textId="77777777" w:rsidR="00640FFC" w:rsidRDefault="00000000">
      <w:pPr>
        <w:pBdr>
          <w:bottom w:val="single" w:sz="4" w:space="1" w:color="DDDDDD"/>
        </w:pBdr>
        <w:spacing w:before="200" w:after="200"/>
      </w:pPr>
      <w:r>
        <w:rPr>
          <w:color w:val="FFFFFF"/>
        </w:rPr>
        <w:lastRenderedPageBreak/>
        <w:t xml:space="preserve"> </w:t>
      </w:r>
    </w:p>
    <w:p w14:paraId="1C63ECCA" w14:textId="77777777" w:rsidR="00640FFC" w:rsidRDefault="00000000">
      <w:pPr>
        <w:spacing w:before="360" w:after="140"/>
      </w:pPr>
      <w:r>
        <w:rPr>
          <w:b/>
          <w:bCs/>
          <w:color w:val="1A1A18"/>
          <w:sz w:val="28"/>
          <w:szCs w:val="28"/>
        </w:rPr>
        <w:t>How it works</w:t>
      </w:r>
    </w:p>
    <w:p w14:paraId="407FD11B" w14:textId="77777777" w:rsidR="00640FFC" w:rsidRDefault="00000000">
      <w:pPr>
        <w:spacing w:before="200" w:after="80"/>
      </w:pPr>
      <w:r>
        <w:rPr>
          <w:b/>
          <w:bCs/>
          <w:color w:val="0F6E56"/>
        </w:rPr>
        <w:t>For the person being protected</w:t>
      </w:r>
    </w:p>
    <w:p w14:paraId="0285DCD8" w14:textId="77777777" w:rsidR="00640FFC" w:rsidRDefault="00000000">
      <w:r>
        <w:rPr>
          <w:b/>
          <w:bCs/>
          <w:color w:val="1A1A18"/>
        </w:rPr>
        <w:t>Connect</w:t>
      </w:r>
      <w:r>
        <w:t xml:space="preserve"> — Quiet Protect connects to their existing email account. Nothing changes about how they currently use email.</w:t>
      </w:r>
    </w:p>
    <w:p w14:paraId="6475EA63" w14:textId="77777777" w:rsidR="00640FFC" w:rsidRDefault="00000000">
      <w:r>
        <w:rPr>
          <w:b/>
          <w:bCs/>
          <w:color w:val="1A1A18"/>
        </w:rPr>
        <w:t>Filter</w:t>
      </w:r>
      <w:r>
        <w:t xml:space="preserve"> — The Quiet AI assistant identifies emails showing signs of fraud and holds them aside. Known scam patterns, suspicious senders, and high-risk email types are caught automatically.</w:t>
      </w:r>
    </w:p>
    <w:p w14:paraId="1AADC058" w14:textId="77777777" w:rsidR="00640FFC" w:rsidRDefault="00000000">
      <w:r>
        <w:rPr>
          <w:b/>
          <w:bCs/>
          <w:color w:val="1A1A18"/>
        </w:rPr>
        <w:t>Control</w:t>
      </w:r>
      <w:r>
        <w:t xml:space="preserve"> — Flagged emails are not deleted. Your relative can still choose to review them. They are protected, not managed.</w:t>
      </w:r>
    </w:p>
    <w:p w14:paraId="16B8BB6D" w14:textId="77777777" w:rsidR="00640FFC" w:rsidRDefault="00000000">
      <w:pPr>
        <w:spacing w:before="200" w:after="80"/>
      </w:pPr>
      <w:r>
        <w:rPr>
          <w:b/>
          <w:bCs/>
          <w:color w:val="0F6E56"/>
        </w:rPr>
        <w:t>For the family member or carer</w:t>
      </w:r>
    </w:p>
    <w:p w14:paraId="47FAF4B4" w14:textId="77777777" w:rsidR="00640FFC" w:rsidRDefault="00000000">
      <w:r>
        <w:rPr>
          <w:b/>
          <w:bCs/>
          <w:color w:val="1A1A18"/>
        </w:rPr>
        <w:t>Dashboard</w:t>
      </w:r>
      <w:r>
        <w:t xml:space="preserve"> — A simple view showing recent activity. How many suspicious emails were caught this week. What categories of threat were detected.</w:t>
      </w:r>
    </w:p>
    <w:p w14:paraId="018A6866" w14:textId="77777777" w:rsidR="00640FFC" w:rsidRDefault="00000000">
      <w:r>
        <w:rPr>
          <w:b/>
          <w:bCs/>
          <w:color w:val="1A1A18"/>
        </w:rPr>
        <w:t>Alerts</w:t>
      </w:r>
      <w:r>
        <w:t xml:space="preserve"> — If an unusually high volume of fraud attempts arrives, or something looks especially serious, you receive a notification. You don’t need to check in daily.</w:t>
      </w:r>
    </w:p>
    <w:p w14:paraId="35D3BDB7" w14:textId="77777777" w:rsidR="00640FFC" w:rsidRDefault="00000000">
      <w:r>
        <w:rPr>
          <w:b/>
          <w:bCs/>
          <w:color w:val="1A1A18"/>
        </w:rPr>
        <w:t>Reports</w:t>
      </w:r>
      <w:r>
        <w:t xml:space="preserve"> — Confirmed scam attempts can be reported to Action Fraud with a single tap, helping to protect others.</w:t>
      </w:r>
    </w:p>
    <w:p w14:paraId="1721D2DA" w14:textId="77777777" w:rsidR="00640FFC" w:rsidRDefault="00000000">
      <w:pPr>
        <w:pBdr>
          <w:bottom w:val="single" w:sz="4" w:space="1" w:color="DDDDDD"/>
        </w:pBdr>
        <w:spacing w:before="200" w:after="200"/>
      </w:pPr>
      <w:r>
        <w:rPr>
          <w:color w:val="FFFFFF"/>
        </w:rPr>
        <w:t xml:space="preserve"> </w:t>
      </w:r>
    </w:p>
    <w:p w14:paraId="07A2AB13" w14:textId="77777777" w:rsidR="00640FFC" w:rsidRDefault="00000000">
      <w:pPr>
        <w:spacing w:before="360" w:after="140"/>
        <w:rPr>
          <w:b/>
          <w:bCs/>
          <w:color w:val="1A1A18"/>
          <w:sz w:val="28"/>
          <w:szCs w:val="28"/>
        </w:rPr>
      </w:pPr>
      <w:r>
        <w:rPr>
          <w:b/>
          <w:bCs/>
          <w:color w:val="1A1A18"/>
          <w:sz w:val="28"/>
          <w:szCs w:val="28"/>
        </w:rPr>
        <w:t>The three pillars</w:t>
      </w:r>
    </w:p>
    <w:p w14:paraId="364A1018" w14:textId="77777777" w:rsidR="001B0E70" w:rsidRDefault="001B0E70" w:rsidP="001B0E7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B0E70" w14:paraId="2FB53B91" w14:textId="77777777" w:rsidTr="00423FFE">
        <w:tc>
          <w:tcPr>
            <w:tcW w:w="1200" w:type="dxa"/>
            <w:tcBorders>
              <w:top w:val="single" w:sz="1" w:space="0" w:color="D3D1C7"/>
              <w:left w:val="single" w:sz="1" w:space="0" w:color="D3D1C7"/>
              <w:bottom w:val="single" w:sz="1" w:space="0" w:color="D3D1C7"/>
              <w:right w:val="single" w:sz="1" w:space="0" w:color="D3D1C7"/>
            </w:tcBorders>
            <w:shd w:val="clear" w:color="auto" w:fill="D85A30"/>
            <w:tcMar>
              <w:top w:w="100" w:type="dxa"/>
              <w:left w:w="120" w:type="dxa"/>
              <w:bottom w:w="100" w:type="dxa"/>
              <w:right w:w="120" w:type="dxa"/>
            </w:tcMar>
            <w:vAlign w:val="center"/>
          </w:tcPr>
          <w:p w14:paraId="52584C99" w14:textId="77777777" w:rsidR="001B0E70" w:rsidRDefault="001B0E70" w:rsidP="00423FFE">
            <w:pPr>
              <w:jc w:val="center"/>
            </w:pPr>
            <w:r>
              <w:rPr>
                <w:b/>
                <w:bCs/>
                <w:color w:val="FFFFFF"/>
              </w:rPr>
              <w:t>Block</w:t>
            </w:r>
          </w:p>
        </w:tc>
        <w:tc>
          <w:tcPr>
            <w:tcW w:w="7826"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60" w:type="dxa"/>
              <w:bottom w:w="100" w:type="dxa"/>
              <w:right w:w="120" w:type="dxa"/>
            </w:tcMar>
          </w:tcPr>
          <w:p w14:paraId="52D0CF80" w14:textId="48688D15" w:rsidR="001B0E70" w:rsidRDefault="001B0E70" w:rsidP="001B0E70">
            <w:pPr>
              <w:spacing w:after="40"/>
            </w:pPr>
            <w:r>
              <w:t>Known scam patterns and suspicious senders are automatically held back before they reach the inbox. No action needed from your relative.</w:t>
            </w:r>
          </w:p>
        </w:tc>
      </w:tr>
    </w:tbl>
    <w:p w14:paraId="56BAE9E3" w14:textId="77777777" w:rsidR="001B0E70" w:rsidRDefault="001B0E70" w:rsidP="001B0E7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B0E70" w14:paraId="650C9144" w14:textId="77777777" w:rsidTr="00423FFE">
        <w:tc>
          <w:tcPr>
            <w:tcW w:w="1200" w:type="dxa"/>
            <w:tcBorders>
              <w:top w:val="single" w:sz="1" w:space="0" w:color="D3D1C7"/>
              <w:left w:val="single" w:sz="1" w:space="0" w:color="D3D1C7"/>
              <w:bottom w:val="single" w:sz="1" w:space="0" w:color="D3D1C7"/>
              <w:right w:val="single" w:sz="1" w:space="0" w:color="D3D1C7"/>
            </w:tcBorders>
            <w:shd w:val="clear" w:color="auto" w:fill="BA7517"/>
            <w:tcMar>
              <w:top w:w="100" w:type="dxa"/>
              <w:left w:w="120" w:type="dxa"/>
              <w:bottom w:w="100" w:type="dxa"/>
              <w:right w:w="120" w:type="dxa"/>
            </w:tcMar>
            <w:vAlign w:val="center"/>
          </w:tcPr>
          <w:p w14:paraId="5BAB9CDA" w14:textId="77777777" w:rsidR="001B0E70" w:rsidRDefault="001B0E70" w:rsidP="00423FFE">
            <w:pPr>
              <w:jc w:val="center"/>
            </w:pPr>
            <w:r>
              <w:rPr>
                <w:b/>
                <w:bCs/>
                <w:color w:val="FFFFFF"/>
              </w:rPr>
              <w:t>Review</w:t>
            </w:r>
          </w:p>
        </w:tc>
        <w:tc>
          <w:tcPr>
            <w:tcW w:w="7826"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60" w:type="dxa"/>
              <w:bottom w:w="100" w:type="dxa"/>
              <w:right w:w="120" w:type="dxa"/>
            </w:tcMar>
          </w:tcPr>
          <w:p w14:paraId="506C47D5" w14:textId="673B6ED5" w:rsidR="001B0E70" w:rsidRDefault="001B0E70" w:rsidP="001B0E70">
            <w:pPr>
              <w:spacing w:after="40"/>
            </w:pPr>
            <w:r>
              <w:t>Borderline emails — those that look unusual but can’t be confirmed as harmful — are flagged rather than silently delivered or deleted. A summary is available for the family member.</w:t>
            </w:r>
          </w:p>
        </w:tc>
      </w:tr>
    </w:tbl>
    <w:p w14:paraId="2E2DC435" w14:textId="77777777" w:rsidR="001B0E70" w:rsidRDefault="001B0E70" w:rsidP="001B0E7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1B0E70" w14:paraId="578E418A" w14:textId="77777777" w:rsidTr="00423FFE">
        <w:tc>
          <w:tcPr>
            <w:tcW w:w="1200" w:type="dxa"/>
            <w:tcBorders>
              <w:top w:val="single" w:sz="1" w:space="0" w:color="D3D1C7"/>
              <w:left w:val="single" w:sz="1" w:space="0" w:color="D3D1C7"/>
              <w:bottom w:val="single" w:sz="1" w:space="0" w:color="D3D1C7"/>
              <w:right w:val="single" w:sz="1" w:space="0" w:color="D3D1C7"/>
            </w:tcBorders>
            <w:shd w:val="clear" w:color="auto" w:fill="1D9E75"/>
            <w:tcMar>
              <w:top w:w="100" w:type="dxa"/>
              <w:left w:w="120" w:type="dxa"/>
              <w:bottom w:w="100" w:type="dxa"/>
              <w:right w:w="120" w:type="dxa"/>
            </w:tcMar>
            <w:vAlign w:val="center"/>
          </w:tcPr>
          <w:p w14:paraId="2CCCEB50" w14:textId="77777777" w:rsidR="001B0E70" w:rsidRDefault="001B0E70" w:rsidP="00423FFE">
            <w:pPr>
              <w:jc w:val="center"/>
            </w:pPr>
            <w:r>
              <w:rPr>
                <w:b/>
                <w:bCs/>
                <w:color w:val="FFFFFF"/>
              </w:rPr>
              <w:t>Report</w:t>
            </w:r>
          </w:p>
        </w:tc>
        <w:tc>
          <w:tcPr>
            <w:tcW w:w="7826"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60" w:type="dxa"/>
              <w:bottom w:w="100" w:type="dxa"/>
              <w:right w:w="120" w:type="dxa"/>
            </w:tcMar>
          </w:tcPr>
          <w:p w14:paraId="6D685B94" w14:textId="01E887C5" w:rsidR="001B0E70" w:rsidRDefault="001B0E70" w:rsidP="001B0E70">
            <w:pPr>
              <w:spacing w:after="40"/>
            </w:pPr>
            <w:r>
              <w:t>Confirmed fraud attempts are logged and can be reported with a single tap. This contributes to national fraud intelligence and helps protect others facing the same threats.</w:t>
            </w:r>
          </w:p>
        </w:tc>
      </w:tr>
    </w:tbl>
    <w:p w14:paraId="2D9822EE" w14:textId="03FA9C14" w:rsidR="00640FFC" w:rsidRDefault="00640FFC">
      <w:pPr>
        <w:pBdr>
          <w:bottom w:val="single" w:sz="4" w:space="1" w:color="DDDDDD"/>
        </w:pBdr>
        <w:spacing w:before="200" w:after="200"/>
      </w:pPr>
    </w:p>
    <w:p w14:paraId="4080C93F" w14:textId="77777777" w:rsidR="00640FFC" w:rsidRDefault="00000000">
      <w:pPr>
        <w:spacing w:before="360" w:after="140"/>
      </w:pPr>
      <w:r>
        <w:rPr>
          <w:b/>
          <w:bCs/>
          <w:color w:val="1A1A18"/>
          <w:sz w:val="28"/>
          <w:szCs w:val="28"/>
        </w:rPr>
        <w:t>Who Quiet Protect is for</w:t>
      </w:r>
    </w:p>
    <w:p w14:paraId="27B545FD" w14:textId="77777777" w:rsidR="00640FFC" w:rsidRDefault="00000000">
      <w:r>
        <w:rPr>
          <w:b/>
          <w:bCs/>
          <w:color w:val="1A1A18"/>
        </w:rPr>
        <w:t>Older and vulnerable adults</w:t>
      </w:r>
      <w:r>
        <w:t xml:space="preserve"> — People who use email regularly but may find it harder to identify modern fraud tactics. Quiet Protect helps without requiring any change to how they currently use email.</w:t>
      </w:r>
    </w:p>
    <w:p w14:paraId="704AB50D" w14:textId="77777777" w:rsidR="00640FFC" w:rsidRDefault="00000000">
      <w:r>
        <w:rPr>
          <w:b/>
          <w:bCs/>
          <w:color w:val="1A1A18"/>
        </w:rPr>
        <w:t>Concerned family members and carers</w:t>
      </w:r>
      <w:r>
        <w:t xml:space="preserve"> — Adult children, relatives, or professional carers who want to provide a practical extra layer of protection — while fully respecting the person’s independence and privacy.</w:t>
      </w:r>
    </w:p>
    <w:p w14:paraId="7D10B220" w14:textId="77777777" w:rsidR="00640FFC" w:rsidRDefault="00000000">
      <w:pPr>
        <w:spacing w:after="80"/>
      </w:pPr>
      <w:r>
        <w:rPr>
          <w:color w:val="FFFFFF"/>
        </w:rPr>
        <w:t xml:space="preserve"> </w:t>
      </w:r>
    </w:p>
    <w:tbl>
      <w:tblPr>
        <w:tblW w:w="9026" w:type="dxa"/>
        <w:tblBorders>
          <w:insideH w:val="none" w:sz="0" w:space="0" w:color="FFFFFF"/>
          <w:insideV w:val="none" w:sz="0" w:space="0" w:color="FFFFFF"/>
        </w:tblBorders>
        <w:tblLook w:val="04A0" w:firstRow="1" w:lastRow="0" w:firstColumn="1" w:lastColumn="0" w:noHBand="0" w:noVBand="1"/>
      </w:tblPr>
      <w:tblGrid>
        <w:gridCol w:w="9026"/>
      </w:tblGrid>
      <w:tr w:rsidR="00640FFC" w14:paraId="6503BD86" w14:textId="77777777">
        <w:tc>
          <w:tcPr>
            <w:tcW w:w="9026" w:type="dxa"/>
            <w:tcBorders>
              <w:top w:val="single" w:sz="2" w:space="0" w:color="C8E6DA"/>
              <w:left w:val="single" w:sz="18" w:space="0" w:color="1D9E75"/>
              <w:bottom w:val="single" w:sz="2" w:space="0" w:color="C8E6DA"/>
              <w:right w:val="single" w:sz="2" w:space="0" w:color="C8E6DA"/>
            </w:tcBorders>
            <w:shd w:val="clear" w:color="auto" w:fill="E1F5EE"/>
            <w:tcMar>
              <w:top w:w="120" w:type="dxa"/>
              <w:left w:w="180" w:type="dxa"/>
              <w:bottom w:w="120" w:type="dxa"/>
              <w:right w:w="180" w:type="dxa"/>
            </w:tcMar>
          </w:tcPr>
          <w:p w14:paraId="048E5FF4" w14:textId="77777777" w:rsidR="00640FFC" w:rsidRDefault="00000000">
            <w:pPr>
              <w:spacing w:after="0"/>
            </w:pPr>
            <w:r>
              <w:rPr>
                <w:color w:val="0F6E56"/>
              </w:rPr>
              <w:t>The decision to use Quiet Protect should involve the person being protected. It works best when it’s set up together as a shared, positive choice — not something imposed without discussion.</w:t>
            </w:r>
          </w:p>
        </w:tc>
      </w:tr>
    </w:tbl>
    <w:p w14:paraId="5B8AAC1F" w14:textId="77777777" w:rsidR="00640FFC" w:rsidRDefault="00000000">
      <w:pPr>
        <w:pBdr>
          <w:bottom w:val="single" w:sz="4" w:space="1" w:color="DDDDDD"/>
        </w:pBdr>
        <w:spacing w:before="200" w:after="200"/>
      </w:pPr>
      <w:r>
        <w:rPr>
          <w:color w:val="FFFFFF"/>
        </w:rPr>
        <w:t xml:space="preserve"> </w:t>
      </w:r>
    </w:p>
    <w:p w14:paraId="71FA176C" w14:textId="77777777" w:rsidR="00640FFC" w:rsidRDefault="00000000">
      <w:pPr>
        <w:spacing w:before="360" w:after="140"/>
      </w:pPr>
      <w:r>
        <w:rPr>
          <w:b/>
          <w:bCs/>
          <w:color w:val="1A1A18"/>
          <w:sz w:val="28"/>
          <w:szCs w:val="28"/>
        </w:rPr>
        <w:t>How it differs from standard Quiet</w:t>
      </w:r>
    </w:p>
    <w:p w14:paraId="2261753C" w14:textId="77777777" w:rsidR="00640FFC" w:rsidRDefault="00000000">
      <w:pPr>
        <w:spacing w:after="80"/>
      </w:pPr>
      <w:r>
        <w:rPr>
          <w:color w:val="FFFFFF"/>
        </w:rPr>
        <w:t xml:space="preserve"> </w:t>
      </w:r>
    </w:p>
    <w:tbl>
      <w:tblPr>
        <w:tblW w:w="9026" w:type="dxa"/>
        <w:tblBorders>
          <w:insideH w:val="none" w:sz="0" w:space="0" w:color="FFFFFF"/>
          <w:insideV w:val="none" w:sz="0" w:space="0" w:color="FFFFFF"/>
        </w:tblBorders>
        <w:tblLook w:val="04A0" w:firstRow="1" w:lastRow="0" w:firstColumn="1" w:lastColumn="0" w:noHBand="0" w:noVBand="1"/>
      </w:tblPr>
      <w:tblGrid>
        <w:gridCol w:w="2800"/>
        <w:gridCol w:w="3113"/>
        <w:gridCol w:w="3113"/>
      </w:tblGrid>
      <w:tr w:rsidR="00640FFC" w14:paraId="22DB4EB6" w14:textId="77777777">
        <w:tc>
          <w:tcPr>
            <w:tcW w:w="2800" w:type="dxa"/>
            <w:tcBorders>
              <w:top w:val="single" w:sz="4" w:space="0" w:color="0F3D2E"/>
              <w:left w:val="none" w:sz="0" w:space="0" w:color="FFFFFF"/>
              <w:bottom w:val="single" w:sz="4" w:space="0" w:color="0F3D2E"/>
              <w:right w:val="none" w:sz="0" w:space="0" w:color="FFFFFF"/>
            </w:tcBorders>
            <w:shd w:val="clear" w:color="auto" w:fill="1A5C42"/>
            <w:tcMar>
              <w:top w:w="80" w:type="dxa"/>
              <w:left w:w="140" w:type="dxa"/>
              <w:bottom w:w="80" w:type="dxa"/>
              <w:right w:w="140" w:type="dxa"/>
            </w:tcMar>
          </w:tcPr>
          <w:p w14:paraId="0FDB40F6" w14:textId="77777777" w:rsidR="00640FFC" w:rsidRDefault="00000000">
            <w:pPr>
              <w:spacing w:after="0"/>
            </w:pPr>
            <w:r>
              <w:rPr>
                <w:b/>
                <w:bCs/>
                <w:color w:val="FFFFFF"/>
                <w:sz w:val="19"/>
                <w:szCs w:val="19"/>
              </w:rPr>
              <w:t xml:space="preserve"> </w:t>
            </w:r>
          </w:p>
        </w:tc>
        <w:tc>
          <w:tcPr>
            <w:tcW w:w="3113" w:type="dxa"/>
            <w:tcBorders>
              <w:top w:val="single" w:sz="4" w:space="0" w:color="0F3D2E"/>
              <w:left w:val="none" w:sz="0" w:space="0" w:color="FFFFFF"/>
              <w:bottom w:val="single" w:sz="4" w:space="0" w:color="0F3D2E"/>
              <w:right w:val="none" w:sz="0" w:space="0" w:color="FFFFFF"/>
            </w:tcBorders>
            <w:shd w:val="clear" w:color="auto" w:fill="1A5C42"/>
            <w:tcMar>
              <w:top w:w="80" w:type="dxa"/>
              <w:left w:w="140" w:type="dxa"/>
              <w:bottom w:w="80" w:type="dxa"/>
              <w:right w:w="140" w:type="dxa"/>
            </w:tcMar>
          </w:tcPr>
          <w:p w14:paraId="6957DFC0" w14:textId="77777777" w:rsidR="00640FFC" w:rsidRDefault="00000000">
            <w:pPr>
              <w:spacing w:after="0"/>
            </w:pPr>
            <w:r>
              <w:rPr>
                <w:b/>
                <w:bCs/>
                <w:color w:val="FFFFFF"/>
                <w:sz w:val="19"/>
                <w:szCs w:val="19"/>
              </w:rPr>
              <w:t>Quiet</w:t>
            </w:r>
          </w:p>
        </w:tc>
        <w:tc>
          <w:tcPr>
            <w:tcW w:w="3113" w:type="dxa"/>
            <w:tcBorders>
              <w:top w:val="single" w:sz="4" w:space="0" w:color="0F3D2E"/>
              <w:left w:val="none" w:sz="0" w:space="0" w:color="FFFFFF"/>
              <w:bottom w:val="single" w:sz="4" w:space="0" w:color="0F3D2E"/>
              <w:right w:val="none" w:sz="0" w:space="0" w:color="FFFFFF"/>
            </w:tcBorders>
            <w:shd w:val="clear" w:color="auto" w:fill="1A5C42"/>
            <w:tcMar>
              <w:top w:w="80" w:type="dxa"/>
              <w:left w:w="140" w:type="dxa"/>
              <w:bottom w:w="80" w:type="dxa"/>
              <w:right w:w="140" w:type="dxa"/>
            </w:tcMar>
          </w:tcPr>
          <w:p w14:paraId="6B2FC667" w14:textId="77777777" w:rsidR="00640FFC" w:rsidRDefault="00000000">
            <w:pPr>
              <w:spacing w:after="0"/>
            </w:pPr>
            <w:r>
              <w:rPr>
                <w:b/>
                <w:bCs/>
                <w:color w:val="FFFFFF"/>
                <w:sz w:val="19"/>
                <w:szCs w:val="19"/>
              </w:rPr>
              <w:t>Quiet Protect</w:t>
            </w:r>
          </w:p>
        </w:tc>
      </w:tr>
      <w:tr w:rsidR="00640FFC" w14:paraId="1C6F4C14" w14:textId="77777777">
        <w:tc>
          <w:tcPr>
            <w:tcW w:w="2800" w:type="dxa"/>
            <w:tcBorders>
              <w:top w:val="single" w:sz="2" w:space="0" w:color="E0EDE8"/>
              <w:left w:val="none" w:sz="0" w:space="0" w:color="FFFFFF"/>
              <w:bottom w:val="single" w:sz="2" w:space="0" w:color="E0EDE8"/>
              <w:right w:val="none" w:sz="0" w:space="0" w:color="FFFFFF"/>
            </w:tcBorders>
            <w:shd w:val="clear" w:color="auto" w:fill="F7F5F0"/>
            <w:tcMar>
              <w:top w:w="80" w:type="dxa"/>
              <w:left w:w="140" w:type="dxa"/>
              <w:bottom w:w="80" w:type="dxa"/>
              <w:right w:w="140" w:type="dxa"/>
            </w:tcMar>
          </w:tcPr>
          <w:p w14:paraId="5267682B" w14:textId="77777777" w:rsidR="00640FFC" w:rsidRDefault="00000000">
            <w:pPr>
              <w:spacing w:after="0"/>
            </w:pPr>
            <w:r>
              <w:rPr>
                <w:color w:val="1A1A18"/>
                <w:sz w:val="19"/>
                <w:szCs w:val="19"/>
              </w:rPr>
              <w:t>Primary user</w:t>
            </w:r>
          </w:p>
        </w:tc>
        <w:tc>
          <w:tcPr>
            <w:tcW w:w="3113" w:type="dxa"/>
            <w:tcBorders>
              <w:top w:val="single" w:sz="2" w:space="0" w:color="E0EDE8"/>
              <w:left w:val="none" w:sz="0" w:space="0" w:color="FFFFFF"/>
              <w:bottom w:val="single" w:sz="2" w:space="0" w:color="E0EDE8"/>
              <w:right w:val="none" w:sz="0" w:space="0" w:color="FFFFFF"/>
            </w:tcBorders>
            <w:shd w:val="clear" w:color="auto" w:fill="FFFFFF"/>
            <w:tcMar>
              <w:top w:w="80" w:type="dxa"/>
              <w:left w:w="140" w:type="dxa"/>
              <w:bottom w:w="80" w:type="dxa"/>
              <w:right w:w="140" w:type="dxa"/>
            </w:tcMar>
          </w:tcPr>
          <w:p w14:paraId="64142178" w14:textId="77777777" w:rsidR="00640FFC" w:rsidRDefault="00000000">
            <w:pPr>
              <w:spacing w:after="0"/>
            </w:pPr>
            <w:r>
              <w:rPr>
                <w:color w:val="6B6B66"/>
                <w:sz w:val="19"/>
                <w:szCs w:val="19"/>
              </w:rPr>
              <w:t>The email account holder</w:t>
            </w:r>
          </w:p>
        </w:tc>
        <w:tc>
          <w:tcPr>
            <w:tcW w:w="3113" w:type="dxa"/>
            <w:tcBorders>
              <w:top w:val="single" w:sz="2" w:space="0" w:color="E0EDE8"/>
              <w:left w:val="none" w:sz="0" w:space="0" w:color="FFFFFF"/>
              <w:bottom w:val="single" w:sz="2" w:space="0" w:color="E0EDE8"/>
              <w:right w:val="none" w:sz="0" w:space="0" w:color="FFFFFF"/>
            </w:tcBorders>
            <w:shd w:val="clear" w:color="auto" w:fill="F0FAF5"/>
            <w:tcMar>
              <w:top w:w="80" w:type="dxa"/>
              <w:left w:w="140" w:type="dxa"/>
              <w:bottom w:w="80" w:type="dxa"/>
              <w:right w:w="140" w:type="dxa"/>
            </w:tcMar>
          </w:tcPr>
          <w:p w14:paraId="7354EF5A" w14:textId="77777777" w:rsidR="00640FFC" w:rsidRDefault="00000000">
            <w:pPr>
              <w:spacing w:after="0"/>
            </w:pPr>
            <w:r>
              <w:rPr>
                <w:color w:val="0F6E56"/>
                <w:sz w:val="19"/>
                <w:szCs w:val="19"/>
              </w:rPr>
              <w:t>An older or vulnerable adult</w:t>
            </w:r>
          </w:p>
        </w:tc>
      </w:tr>
      <w:tr w:rsidR="00640FFC" w14:paraId="4E14EB78" w14:textId="77777777">
        <w:tc>
          <w:tcPr>
            <w:tcW w:w="2800" w:type="dxa"/>
            <w:tcBorders>
              <w:top w:val="single" w:sz="2" w:space="0" w:color="E0EDE8"/>
              <w:left w:val="none" w:sz="0" w:space="0" w:color="FFFFFF"/>
              <w:bottom w:val="single" w:sz="2" w:space="0" w:color="E0EDE8"/>
              <w:right w:val="none" w:sz="0" w:space="0" w:color="FFFFFF"/>
            </w:tcBorders>
            <w:shd w:val="clear" w:color="auto" w:fill="F7F5F0"/>
            <w:tcMar>
              <w:top w:w="80" w:type="dxa"/>
              <w:left w:w="140" w:type="dxa"/>
              <w:bottom w:w="80" w:type="dxa"/>
              <w:right w:w="140" w:type="dxa"/>
            </w:tcMar>
          </w:tcPr>
          <w:p w14:paraId="74C662D2" w14:textId="77777777" w:rsidR="00640FFC" w:rsidRDefault="00000000">
            <w:pPr>
              <w:spacing w:after="0"/>
            </w:pPr>
            <w:r>
              <w:rPr>
                <w:color w:val="1A1A18"/>
                <w:sz w:val="19"/>
                <w:szCs w:val="19"/>
              </w:rPr>
              <w:t>Managed by</w:t>
            </w:r>
          </w:p>
        </w:tc>
        <w:tc>
          <w:tcPr>
            <w:tcW w:w="3113" w:type="dxa"/>
            <w:tcBorders>
              <w:top w:val="single" w:sz="2" w:space="0" w:color="E0EDE8"/>
              <w:left w:val="none" w:sz="0" w:space="0" w:color="FFFFFF"/>
              <w:bottom w:val="single" w:sz="2" w:space="0" w:color="E0EDE8"/>
              <w:right w:val="none" w:sz="0" w:space="0" w:color="FFFFFF"/>
            </w:tcBorders>
            <w:shd w:val="clear" w:color="auto" w:fill="FFFFFF"/>
            <w:tcMar>
              <w:top w:w="80" w:type="dxa"/>
              <w:left w:w="140" w:type="dxa"/>
              <w:bottom w:w="80" w:type="dxa"/>
              <w:right w:w="140" w:type="dxa"/>
            </w:tcMar>
          </w:tcPr>
          <w:p w14:paraId="79C9FE08" w14:textId="77777777" w:rsidR="00640FFC" w:rsidRDefault="00000000">
            <w:pPr>
              <w:spacing w:after="0"/>
            </w:pPr>
            <w:r>
              <w:rPr>
                <w:color w:val="6B6B66"/>
                <w:sz w:val="19"/>
                <w:szCs w:val="19"/>
              </w:rPr>
              <w:t>The user themselves</w:t>
            </w:r>
          </w:p>
        </w:tc>
        <w:tc>
          <w:tcPr>
            <w:tcW w:w="3113" w:type="dxa"/>
            <w:tcBorders>
              <w:top w:val="single" w:sz="2" w:space="0" w:color="E0EDE8"/>
              <w:left w:val="none" w:sz="0" w:space="0" w:color="FFFFFF"/>
              <w:bottom w:val="single" w:sz="2" w:space="0" w:color="E0EDE8"/>
              <w:right w:val="none" w:sz="0" w:space="0" w:color="FFFFFF"/>
            </w:tcBorders>
            <w:shd w:val="clear" w:color="auto" w:fill="F0FAF5"/>
            <w:tcMar>
              <w:top w:w="80" w:type="dxa"/>
              <w:left w:w="140" w:type="dxa"/>
              <w:bottom w:w="80" w:type="dxa"/>
              <w:right w:w="140" w:type="dxa"/>
            </w:tcMar>
          </w:tcPr>
          <w:p w14:paraId="552380E6" w14:textId="77777777" w:rsidR="00640FFC" w:rsidRDefault="00000000">
            <w:pPr>
              <w:spacing w:after="0"/>
            </w:pPr>
            <w:r>
              <w:rPr>
                <w:color w:val="0F6E56"/>
                <w:sz w:val="19"/>
                <w:szCs w:val="19"/>
              </w:rPr>
              <w:t>A trusted family member or carer</w:t>
            </w:r>
          </w:p>
        </w:tc>
      </w:tr>
      <w:tr w:rsidR="00640FFC" w14:paraId="1957A991" w14:textId="77777777">
        <w:tc>
          <w:tcPr>
            <w:tcW w:w="2800" w:type="dxa"/>
            <w:tcBorders>
              <w:top w:val="single" w:sz="2" w:space="0" w:color="E0EDE8"/>
              <w:left w:val="none" w:sz="0" w:space="0" w:color="FFFFFF"/>
              <w:bottom w:val="single" w:sz="2" w:space="0" w:color="E0EDE8"/>
              <w:right w:val="none" w:sz="0" w:space="0" w:color="FFFFFF"/>
            </w:tcBorders>
            <w:shd w:val="clear" w:color="auto" w:fill="F7F5F0"/>
            <w:tcMar>
              <w:top w:w="80" w:type="dxa"/>
              <w:left w:w="140" w:type="dxa"/>
              <w:bottom w:w="80" w:type="dxa"/>
              <w:right w:w="140" w:type="dxa"/>
            </w:tcMar>
          </w:tcPr>
          <w:p w14:paraId="139A345C" w14:textId="77777777" w:rsidR="00640FFC" w:rsidRDefault="00000000">
            <w:pPr>
              <w:spacing w:after="0"/>
            </w:pPr>
            <w:r>
              <w:rPr>
                <w:color w:val="1A1A18"/>
                <w:sz w:val="19"/>
                <w:szCs w:val="19"/>
              </w:rPr>
              <w:t>Core purpose</w:t>
            </w:r>
          </w:p>
        </w:tc>
        <w:tc>
          <w:tcPr>
            <w:tcW w:w="3113" w:type="dxa"/>
            <w:tcBorders>
              <w:top w:val="single" w:sz="2" w:space="0" w:color="E0EDE8"/>
              <w:left w:val="none" w:sz="0" w:space="0" w:color="FFFFFF"/>
              <w:bottom w:val="single" w:sz="2" w:space="0" w:color="E0EDE8"/>
              <w:right w:val="none" w:sz="0" w:space="0" w:color="FFFFFF"/>
            </w:tcBorders>
            <w:shd w:val="clear" w:color="auto" w:fill="FFFFFF"/>
            <w:tcMar>
              <w:top w:w="80" w:type="dxa"/>
              <w:left w:w="140" w:type="dxa"/>
              <w:bottom w:w="80" w:type="dxa"/>
              <w:right w:w="140" w:type="dxa"/>
            </w:tcMar>
          </w:tcPr>
          <w:p w14:paraId="1DD77821" w14:textId="77777777" w:rsidR="00640FFC" w:rsidRDefault="00000000">
            <w:pPr>
              <w:spacing w:after="0"/>
            </w:pPr>
            <w:r>
              <w:rPr>
                <w:color w:val="6B6B66"/>
                <w:sz w:val="19"/>
                <w:szCs w:val="19"/>
              </w:rPr>
              <w:t>Inbox prioritisation</w:t>
            </w:r>
          </w:p>
        </w:tc>
        <w:tc>
          <w:tcPr>
            <w:tcW w:w="3113" w:type="dxa"/>
            <w:tcBorders>
              <w:top w:val="single" w:sz="2" w:space="0" w:color="E0EDE8"/>
              <w:left w:val="none" w:sz="0" w:space="0" w:color="FFFFFF"/>
              <w:bottom w:val="single" w:sz="2" w:space="0" w:color="E0EDE8"/>
              <w:right w:val="none" w:sz="0" w:space="0" w:color="FFFFFF"/>
            </w:tcBorders>
            <w:shd w:val="clear" w:color="auto" w:fill="F0FAF5"/>
            <w:tcMar>
              <w:top w:w="80" w:type="dxa"/>
              <w:left w:w="140" w:type="dxa"/>
              <w:bottom w:w="80" w:type="dxa"/>
              <w:right w:w="140" w:type="dxa"/>
            </w:tcMar>
          </w:tcPr>
          <w:p w14:paraId="6E284122" w14:textId="77777777" w:rsidR="00640FFC" w:rsidRDefault="00000000">
            <w:pPr>
              <w:spacing w:after="0"/>
            </w:pPr>
            <w:r>
              <w:rPr>
                <w:color w:val="0F6E56"/>
                <w:sz w:val="19"/>
                <w:szCs w:val="19"/>
              </w:rPr>
              <w:t>Fraud and scam protection</w:t>
            </w:r>
          </w:p>
        </w:tc>
      </w:tr>
      <w:tr w:rsidR="00640FFC" w14:paraId="42815ECB" w14:textId="77777777">
        <w:tc>
          <w:tcPr>
            <w:tcW w:w="2800" w:type="dxa"/>
            <w:tcBorders>
              <w:top w:val="single" w:sz="2" w:space="0" w:color="E0EDE8"/>
              <w:left w:val="none" w:sz="0" w:space="0" w:color="FFFFFF"/>
              <w:bottom w:val="single" w:sz="2" w:space="0" w:color="E0EDE8"/>
              <w:right w:val="none" w:sz="0" w:space="0" w:color="FFFFFF"/>
            </w:tcBorders>
            <w:shd w:val="clear" w:color="auto" w:fill="F7F5F0"/>
            <w:tcMar>
              <w:top w:w="80" w:type="dxa"/>
              <w:left w:w="140" w:type="dxa"/>
              <w:bottom w:w="80" w:type="dxa"/>
              <w:right w:w="140" w:type="dxa"/>
            </w:tcMar>
          </w:tcPr>
          <w:p w14:paraId="5310EF06" w14:textId="77777777" w:rsidR="00640FFC" w:rsidRDefault="00000000">
            <w:pPr>
              <w:spacing w:after="0"/>
            </w:pPr>
            <w:r>
              <w:rPr>
                <w:color w:val="1A1A18"/>
                <w:sz w:val="19"/>
                <w:szCs w:val="19"/>
              </w:rPr>
              <w:t>Family dashboard</w:t>
            </w:r>
          </w:p>
        </w:tc>
        <w:tc>
          <w:tcPr>
            <w:tcW w:w="3113" w:type="dxa"/>
            <w:tcBorders>
              <w:top w:val="single" w:sz="2" w:space="0" w:color="E0EDE8"/>
              <w:left w:val="none" w:sz="0" w:space="0" w:color="FFFFFF"/>
              <w:bottom w:val="single" w:sz="2" w:space="0" w:color="E0EDE8"/>
              <w:right w:val="none" w:sz="0" w:space="0" w:color="FFFFFF"/>
            </w:tcBorders>
            <w:shd w:val="clear" w:color="auto" w:fill="FFFFFF"/>
            <w:tcMar>
              <w:top w:w="80" w:type="dxa"/>
              <w:left w:w="140" w:type="dxa"/>
              <w:bottom w:w="80" w:type="dxa"/>
              <w:right w:w="140" w:type="dxa"/>
            </w:tcMar>
          </w:tcPr>
          <w:p w14:paraId="4BAEA0BB" w14:textId="77777777" w:rsidR="00640FFC" w:rsidRDefault="00000000">
            <w:pPr>
              <w:spacing w:after="0"/>
            </w:pPr>
            <w:r>
              <w:rPr>
                <w:color w:val="6B6B66"/>
                <w:sz w:val="19"/>
                <w:szCs w:val="19"/>
              </w:rPr>
              <w:t>No</w:t>
            </w:r>
          </w:p>
        </w:tc>
        <w:tc>
          <w:tcPr>
            <w:tcW w:w="3113" w:type="dxa"/>
            <w:tcBorders>
              <w:top w:val="single" w:sz="2" w:space="0" w:color="E0EDE8"/>
              <w:left w:val="none" w:sz="0" w:space="0" w:color="FFFFFF"/>
              <w:bottom w:val="single" w:sz="2" w:space="0" w:color="E0EDE8"/>
              <w:right w:val="none" w:sz="0" w:space="0" w:color="FFFFFF"/>
            </w:tcBorders>
            <w:shd w:val="clear" w:color="auto" w:fill="F0FAF5"/>
            <w:tcMar>
              <w:top w:w="80" w:type="dxa"/>
              <w:left w:w="140" w:type="dxa"/>
              <w:bottom w:w="80" w:type="dxa"/>
              <w:right w:w="140" w:type="dxa"/>
            </w:tcMar>
          </w:tcPr>
          <w:p w14:paraId="055900D3" w14:textId="77777777" w:rsidR="00640FFC" w:rsidRDefault="00000000">
            <w:pPr>
              <w:spacing w:after="0"/>
            </w:pPr>
            <w:r>
              <w:rPr>
                <w:color w:val="0F6E56"/>
                <w:sz w:val="19"/>
                <w:szCs w:val="19"/>
              </w:rPr>
              <w:t>Yes — threat summaries only</w:t>
            </w:r>
          </w:p>
        </w:tc>
      </w:tr>
      <w:tr w:rsidR="00640FFC" w14:paraId="40C78FBE" w14:textId="77777777">
        <w:tc>
          <w:tcPr>
            <w:tcW w:w="2800" w:type="dxa"/>
            <w:tcBorders>
              <w:top w:val="single" w:sz="2" w:space="0" w:color="E0EDE8"/>
              <w:left w:val="none" w:sz="0" w:space="0" w:color="FFFFFF"/>
              <w:bottom w:val="single" w:sz="2" w:space="0" w:color="E0EDE8"/>
              <w:right w:val="none" w:sz="0" w:space="0" w:color="FFFFFF"/>
            </w:tcBorders>
            <w:shd w:val="clear" w:color="auto" w:fill="F7F5F0"/>
            <w:tcMar>
              <w:top w:w="80" w:type="dxa"/>
              <w:left w:w="140" w:type="dxa"/>
              <w:bottom w:w="80" w:type="dxa"/>
              <w:right w:w="140" w:type="dxa"/>
            </w:tcMar>
          </w:tcPr>
          <w:p w14:paraId="781E57CD" w14:textId="77777777" w:rsidR="00640FFC" w:rsidRDefault="00000000">
            <w:pPr>
              <w:spacing w:after="0"/>
            </w:pPr>
            <w:r>
              <w:rPr>
                <w:color w:val="1A1A18"/>
                <w:sz w:val="19"/>
                <w:szCs w:val="19"/>
              </w:rPr>
              <w:t>Pricing model</w:t>
            </w:r>
          </w:p>
        </w:tc>
        <w:tc>
          <w:tcPr>
            <w:tcW w:w="3113" w:type="dxa"/>
            <w:tcBorders>
              <w:top w:val="single" w:sz="2" w:space="0" w:color="E0EDE8"/>
              <w:left w:val="none" w:sz="0" w:space="0" w:color="FFFFFF"/>
              <w:bottom w:val="single" w:sz="2" w:space="0" w:color="E0EDE8"/>
              <w:right w:val="none" w:sz="0" w:space="0" w:color="FFFFFF"/>
            </w:tcBorders>
            <w:shd w:val="clear" w:color="auto" w:fill="FFFFFF"/>
            <w:tcMar>
              <w:top w:w="80" w:type="dxa"/>
              <w:left w:w="140" w:type="dxa"/>
              <w:bottom w:w="80" w:type="dxa"/>
              <w:right w:w="140" w:type="dxa"/>
            </w:tcMar>
          </w:tcPr>
          <w:p w14:paraId="3F1B4D4E" w14:textId="77777777" w:rsidR="00640FFC" w:rsidRDefault="00000000">
            <w:pPr>
              <w:spacing w:after="0"/>
            </w:pPr>
            <w:r>
              <w:rPr>
                <w:color w:val="6B6B66"/>
                <w:sz w:val="19"/>
                <w:szCs w:val="19"/>
              </w:rPr>
              <w:t>Individual subscription</w:t>
            </w:r>
          </w:p>
        </w:tc>
        <w:tc>
          <w:tcPr>
            <w:tcW w:w="3113" w:type="dxa"/>
            <w:tcBorders>
              <w:top w:val="single" w:sz="2" w:space="0" w:color="E0EDE8"/>
              <w:left w:val="none" w:sz="0" w:space="0" w:color="FFFFFF"/>
              <w:bottom w:val="single" w:sz="2" w:space="0" w:color="E0EDE8"/>
              <w:right w:val="none" w:sz="0" w:space="0" w:color="FFFFFF"/>
            </w:tcBorders>
            <w:shd w:val="clear" w:color="auto" w:fill="F0FAF5"/>
            <w:tcMar>
              <w:top w:w="80" w:type="dxa"/>
              <w:left w:w="140" w:type="dxa"/>
              <w:bottom w:w="80" w:type="dxa"/>
              <w:right w:w="140" w:type="dxa"/>
            </w:tcMar>
          </w:tcPr>
          <w:p w14:paraId="157190AA" w14:textId="77777777" w:rsidR="00640FFC" w:rsidRDefault="00000000">
            <w:pPr>
              <w:spacing w:after="0"/>
            </w:pPr>
            <w:r>
              <w:rPr>
                <w:color w:val="0F6E56"/>
                <w:sz w:val="19"/>
                <w:szCs w:val="19"/>
              </w:rPr>
              <w:t>Family plan</w:t>
            </w:r>
          </w:p>
        </w:tc>
      </w:tr>
    </w:tbl>
    <w:p w14:paraId="42E23886" w14:textId="77777777" w:rsidR="00640FFC" w:rsidRDefault="00000000">
      <w:pPr>
        <w:pBdr>
          <w:bottom w:val="single" w:sz="4" w:space="1" w:color="DDDDDD"/>
        </w:pBdr>
        <w:spacing w:before="200" w:after="200"/>
      </w:pPr>
      <w:r>
        <w:rPr>
          <w:color w:val="FFFFFF"/>
        </w:rPr>
        <w:t xml:space="preserve"> </w:t>
      </w:r>
    </w:p>
    <w:p w14:paraId="7B9F57F9" w14:textId="77777777" w:rsidR="00640FFC" w:rsidRDefault="00000000">
      <w:pPr>
        <w:spacing w:before="360" w:after="140"/>
      </w:pPr>
      <w:r>
        <w:rPr>
          <w:b/>
          <w:bCs/>
          <w:color w:val="1A1A18"/>
          <w:sz w:val="28"/>
          <w:szCs w:val="28"/>
        </w:rPr>
        <w:t>Market context</w:t>
      </w:r>
    </w:p>
    <w:p w14:paraId="2AFEEFDB" w14:textId="77777777" w:rsidR="00640FFC" w:rsidRDefault="00000000">
      <w:r>
        <w:t>Fraud protection for older adults is increasingly recognised as a genuine need, not a niche product. The combination of ageing demographics, rising digital dependency, and increasingly sophisticated fraud tactics creates a large and growing opportunity.</w:t>
      </w:r>
    </w:p>
    <w:p w14:paraId="11447CE7" w14:textId="00A99459" w:rsidR="00640FFC" w:rsidRDefault="00000000">
      <w:r>
        <w:t>Quiet Protect addresses this not as a technical product but as a human one. The purchase decision is driven by love and concern. That is a very different and very motivated buyer.</w:t>
      </w:r>
    </w:p>
    <w:p w14:paraId="0B786351" w14:textId="77777777" w:rsidR="00640FFC" w:rsidRDefault="00000000">
      <w:pPr>
        <w:pBdr>
          <w:bottom w:val="single" w:sz="4" w:space="1" w:color="DDDDDD"/>
        </w:pBdr>
        <w:spacing w:before="200" w:after="200"/>
      </w:pPr>
      <w:r>
        <w:rPr>
          <w:color w:val="FFFFFF"/>
        </w:rPr>
        <w:t xml:space="preserve"> </w:t>
      </w:r>
    </w:p>
    <w:p w14:paraId="2486D326" w14:textId="77777777" w:rsidR="00640FFC" w:rsidRDefault="00000000">
      <w:pPr>
        <w:spacing w:before="360" w:after="140"/>
      </w:pPr>
      <w:r>
        <w:rPr>
          <w:b/>
          <w:bCs/>
          <w:color w:val="1A1A18"/>
          <w:sz w:val="28"/>
          <w:szCs w:val="28"/>
        </w:rPr>
        <w:t>Status</w:t>
      </w:r>
    </w:p>
    <w:p w14:paraId="635F1F89" w14:textId="77777777" w:rsidR="00640FFC" w:rsidRDefault="00000000">
      <w:r>
        <w:t xml:space="preserve">Quiet Protect is in active prototype development. The family dashboard and protected inbox UI are in design. AI scoring for fraud detection and live email integration </w:t>
      </w:r>
      <w:proofErr w:type="gramStart"/>
      <w:r>
        <w:t>are</w:t>
      </w:r>
      <w:proofErr w:type="gramEnd"/>
      <w:r>
        <w:t xml:space="preserve"> in progress.</w:t>
      </w:r>
    </w:p>
    <w:p w14:paraId="5349B697" w14:textId="77777777" w:rsidR="00640FFC" w:rsidRDefault="00000000">
      <w:r>
        <w:lastRenderedPageBreak/>
        <w:t xml:space="preserve">Early feedback from a small group of trusted contacts is being gathered now. If you are a </w:t>
      </w:r>
      <w:proofErr w:type="spellStart"/>
      <w:r>
        <w:t>carer</w:t>
      </w:r>
      <w:proofErr w:type="spellEnd"/>
      <w:r>
        <w:t>, a concerned family member, or someone who works with vulnerable adults, we would genuinely value your perspective.</w:t>
      </w:r>
    </w:p>
    <w:p w14:paraId="4DEEA74E" w14:textId="77777777" w:rsidR="00640FFC" w:rsidRDefault="00000000">
      <w:pPr>
        <w:pBdr>
          <w:bottom w:val="single" w:sz="4" w:space="1" w:color="DDDDDD"/>
        </w:pBdr>
        <w:spacing w:before="200" w:after="200"/>
      </w:pPr>
      <w:r>
        <w:rPr>
          <w:color w:val="FFFFFF"/>
        </w:rPr>
        <w:t xml:space="preserve"> </w:t>
      </w:r>
    </w:p>
    <w:p w14:paraId="57953D1E" w14:textId="77777777" w:rsidR="00640FFC" w:rsidRDefault="00000000">
      <w:pPr>
        <w:spacing w:before="200" w:after="0"/>
      </w:pPr>
      <w:r>
        <w:rPr>
          <w:i/>
          <w:iCs/>
          <w:color w:val="888780"/>
          <w:sz w:val="18"/>
          <w:szCs w:val="18"/>
        </w:rPr>
        <w:t>Quiet Protect — concept overview — March 2026 — for early feedback only, not for distribution</w:t>
      </w:r>
    </w:p>
    <w:sectPr w:rsidR="00640FFC">
      <w:headerReference w:type="default" r:id="rId7"/>
      <w:footerReference w:type="default" r:id="rId8"/>
      <w:pgSz w:w="11906" w:h="16838"/>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E80DB" w14:textId="77777777" w:rsidR="000F7EBB" w:rsidRDefault="000F7EBB">
      <w:pPr>
        <w:spacing w:after="0" w:line="240" w:lineRule="auto"/>
      </w:pPr>
      <w:r>
        <w:separator/>
      </w:r>
    </w:p>
  </w:endnote>
  <w:endnote w:type="continuationSeparator" w:id="0">
    <w:p w14:paraId="2B7D9ED4" w14:textId="77777777" w:rsidR="000F7EBB" w:rsidRDefault="000F7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98BD" w14:textId="77777777" w:rsidR="00640FFC" w:rsidRDefault="00000000">
    <w:pPr>
      <w:pBdr>
        <w:top w:val="single" w:sz="4" w:space="1" w:color="E0EDE8"/>
      </w:pBdr>
      <w:tabs>
        <w:tab w:val="right" w:pos="9026"/>
      </w:tabs>
      <w:spacing w:before="120" w:after="0"/>
    </w:pPr>
    <w:r>
      <w:rPr>
        <w:color w:val="888780"/>
        <w:sz w:val="16"/>
        <w:szCs w:val="16"/>
      </w:rPr>
      <w:t>Quiet Protect — prototype concept by Tickbox SMC Limited. Not for distribution.</w:t>
    </w:r>
    <w:r>
      <w:tab/>
    </w:r>
    <w:r>
      <w:rPr>
        <w:color w:val="888780"/>
        <w:sz w:val="16"/>
        <w:szCs w:val="16"/>
      </w:rPr>
      <w:t xml:space="preserve">Page </w:t>
    </w:r>
    <w:r>
      <w:rPr>
        <w:color w:val="888780"/>
        <w:sz w:val="16"/>
        <w:szCs w:val="16"/>
      </w:rPr>
      <w:fldChar w:fldCharType="begin"/>
    </w:r>
    <w:r>
      <w:rPr>
        <w:color w:val="888780"/>
        <w:sz w:val="16"/>
        <w:szCs w:val="16"/>
      </w:rPr>
      <w:instrText xml:space="preserve"> PAGE </w:instrText>
    </w:r>
    <w:r>
      <w:rPr>
        <w:color w:val="888780"/>
        <w:sz w:val="16"/>
        <w:szCs w:val="16"/>
      </w:rPr>
      <w:fldChar w:fldCharType="separate"/>
    </w:r>
    <w:r w:rsidR="00EF5F36">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14D7B" w14:textId="77777777" w:rsidR="000F7EBB" w:rsidRDefault="000F7EBB">
      <w:pPr>
        <w:spacing w:after="0" w:line="240" w:lineRule="auto"/>
      </w:pPr>
      <w:r>
        <w:separator/>
      </w:r>
    </w:p>
  </w:footnote>
  <w:footnote w:type="continuationSeparator" w:id="0">
    <w:p w14:paraId="0C274C4B" w14:textId="77777777" w:rsidR="000F7EBB" w:rsidRDefault="000F7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A6F3D" w14:textId="77777777" w:rsidR="00640FFC" w:rsidRDefault="00000000">
    <w:pPr>
      <w:pBdr>
        <w:bottom w:val="single" w:sz="4" w:space="1" w:color="E0EDE8"/>
      </w:pBdr>
      <w:spacing w:after="120"/>
    </w:pPr>
    <w:r>
      <w:rPr>
        <w:color w:val="1D9E75"/>
        <w:sz w:val="18"/>
        <w:szCs w:val="18"/>
      </w:rPr>
      <w:t xml:space="preserve">● </w:t>
    </w:r>
    <w:r>
      <w:rPr>
        <w:b/>
        <w:bCs/>
        <w:color w:val="1A1A18"/>
        <w:sz w:val="18"/>
        <w:szCs w:val="18"/>
      </w:rPr>
      <w:t xml:space="preserve">Quiet </w:t>
    </w:r>
    <w:proofErr w:type="gramStart"/>
    <w:r>
      <w:rPr>
        <w:b/>
        <w:bCs/>
        <w:color w:val="1A1A18"/>
        <w:sz w:val="18"/>
        <w:szCs w:val="18"/>
      </w:rPr>
      <w:t>Protect</w:t>
    </w:r>
    <w:r>
      <w:rPr>
        <w:color w:val="888780"/>
        <w:sz w:val="18"/>
        <w:szCs w:val="18"/>
      </w:rPr>
      <w:t xml:space="preserve">  —</w:t>
    </w:r>
    <w:proofErr w:type="gramEnd"/>
    <w:r>
      <w:rPr>
        <w:color w:val="888780"/>
        <w:sz w:val="18"/>
        <w:szCs w:val="18"/>
      </w:rPr>
      <w:t xml:space="preserve">  Concept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449B3"/>
    <w:multiLevelType w:val="multilevel"/>
    <w:tmpl w:val="1EA89164"/>
    <w:lvl w:ilvl="0">
      <w:start w:val="1"/>
      <w:numFmt w:val="bullet"/>
      <w:lvlText w:val="•"/>
      <w:lvlJc w:val="left"/>
      <w:pPr>
        <w:ind w:left="540" w:hanging="300"/>
      </w:pPr>
      <w:rPr>
        <w:rFonts w:ascii="Symbol" w:hAnsi="Symbol" w:cs="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3643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FC"/>
    <w:rsid w:val="000F7EBB"/>
    <w:rsid w:val="001B0E70"/>
    <w:rsid w:val="00640FFC"/>
    <w:rsid w:val="00A534E1"/>
    <w:rsid w:val="00A67030"/>
    <w:rsid w:val="00E4054F"/>
    <w:rsid w:val="00E92961"/>
    <w:rsid w:val="00EF5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3699904"/>
  <w15:docId w15:val="{DB41ED1E-2637-864A-8B12-05618EC5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0"/>
        <w:sz w:val="22"/>
        <w:szCs w:val="22"/>
        <w:lang w:val="en-GB"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820</Words>
  <Characters>4476</Characters>
  <Application>Microsoft Office Word</Application>
  <DocSecurity>0</DocSecurity>
  <Lines>116</Lines>
  <Paragraphs>62</Paragraphs>
  <ScaleCrop>false</ScaleCrop>
  <HeadingPairs>
    <vt:vector size="2" baseType="variant">
      <vt:variant>
        <vt:lpstr>Title</vt:lpstr>
      </vt:variant>
      <vt:variant>
        <vt:i4>1</vt:i4>
      </vt:variant>
    </vt:vector>
  </HeadingPairs>
  <TitlesOfParts>
    <vt:vector size="1" baseType="lpstr">
      <vt:lpstr>Quiet Protect — Concept Overview</vt:lpstr>
    </vt:vector>
  </TitlesOfParts>
  <Company/>
  <LinksUpToDate>false</LinksUpToDate>
  <CharactersWithSpaces>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Protect — Concept Overview</dc:title>
  <dc:creator>Tickbox SMC Limited</dc:creator>
  <cp:lastModifiedBy>Chris Falck</cp:lastModifiedBy>
  <cp:revision>3</cp:revision>
  <dcterms:created xsi:type="dcterms:W3CDTF">2026-03-28T22:24:00Z</dcterms:created>
  <dcterms:modified xsi:type="dcterms:W3CDTF">2026-03-28T22:24:00Z</dcterms:modified>
</cp:coreProperties>
</file>