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Jev vs. an LLM for Intent Classification</w:t>
      </w:r>
    </w:p>
    <w:p>
      <w:r>
        <w:rPr>
          <w:i/>
        </w:rPr>
        <w:t>Measure a narrow decision before paying for general-purpose inference.</w:t>
      </w:r>
    </w:p>
    <w:p>
      <w:pPr>
        <w:jc w:val="center"/>
      </w:pPr>
      <w:r>
        <w:drawing>
          <wp:inline xmlns:a="http://schemas.openxmlformats.org/drawingml/2006/main" xmlns:pic="http://schemas.openxmlformats.org/drawingml/2006/picture">
            <wp:extent cx="6126480" cy="3446145"/>
            <wp:docPr id="1" name="Picture 1" descr="AI Engineering Fundamentals Part 4: Jev vs. an LLM for Intent Classification. Idan’s small circular portrait sits beside the title and a promise to measure a narrow decision before choosing a model."/>
            <wp:cNvGraphicFramePr>
              <a:graphicFrameLocks noChangeAspect="1"/>
            </wp:cNvGraphicFramePr>
            <a:graphic>
              <a:graphicData uri="http://schemas.openxmlformats.org/drawingml/2006/picture">
                <pic:pic>
                  <pic:nvPicPr>
                    <pic:cNvPr id="0" name="hero.png"/>
                    <pic:cNvPicPr/>
                  </pic:nvPicPr>
                  <pic:blipFill>
                    <a:blip r:embed="rId9"/>
                    <a:stretch>
                      <a:fillRect/>
                    </a:stretch>
                  </pic:blipFill>
                  <pic:spPr>
                    <a:xfrm>
                      <a:off x="0" y="0"/>
                      <a:ext cx="6126480" cy="3446145"/>
                    </a:xfrm>
                    <a:prstGeom prst="rect"/>
                  </pic:spPr>
                </pic:pic>
              </a:graphicData>
            </a:graphic>
          </wp:inline>
        </w:drawing>
      </w:r>
    </w:p>
    <w:p>
      <w:r/>
      <w:r>
        <w:rPr>
          <w:b/>
        </w:rPr>
        <w:t>When to use this:</w:t>
      </w:r>
      <w:r>
        <w:t xml:space="preserve"> Your application needs a small semantic decision, not a generated answer. Compare a focused classifier with your LLM on the same inputs before changing the workflow.</w:t>
      </w:r>
    </w:p>
    <w:p>
      <w:pPr>
        <w:pStyle w:val="Heading1"/>
      </w:pPr>
      <w:r>
        <w:t>Two cancellations, two different requests</w:t>
      </w:r>
    </w:p>
    <w:p>
      <w:r>
        <w:t>“I want to cancel my banking account.”</w:t>
      </w:r>
    </w:p>
    <w:p>
      <w:r>
        <w:t>“I am keeping this account. How can I cancel a transfer?”</w:t>
      </w:r>
    </w:p>
    <w:p>
      <w:r>
        <w:t>Both mention cancellation. Only one asks to close the account. A keyword match is a starting point, but the object and the customer’s intent matter.</w:t>
      </w:r>
    </w:p>
    <w:p>
      <w:r>
        <w:t>Do you need a general-purpose LLM to make that distinction?</w:t>
      </w:r>
    </w:p>
    <w:p>
      <w:r/>
      <w:hyperlink r:id="rId10">
        <w:r>
          <w:rPr>
            <w:rStyle w:val="Hyperlink"/>
          </w:rPr>
          <w:t>Jev</w:t>
        </w:r>
      </w:hyperlink>
      <w:r>
        <w:t xml:space="preserve"> is TypeSafe’s model for focused decisions. You supply evidence and define the possible answers. I tested whether it could perform this small classification job faster and at a lower estimated cost than two LLM integrations—without losing observed accuracy.</w:t>
      </w:r>
    </w:p>
    <w:p>
      <w:pPr>
        <w:pStyle w:val="Heading1"/>
      </w:pPr>
      <w:r>
        <w:t>Step 1 — define the decision, not an action</w:t>
      </w:r>
    </w:p>
    <w:p>
      <w:r>
        <w:t>The baseline asks an LLM to assign one of two labels:</w:t>
      </w:r>
    </w:p>
    <w:p>
      <w:pPr>
        <w:pStyle w:val="ListBullet"/>
      </w:pPr>
      <w:r/>
      <w:r>
        <w:rPr>
          <w:rFonts w:ascii="Courier New" w:hAnsi="Courier New"/>
          <w:sz w:val="18"/>
        </w:rPr>
        <w:t>closure_request</w:t>
      </w:r>
      <w:r>
        <w:t>: the customer wants to close their banking account, or asks how.</w:t>
      </w:r>
    </w:p>
    <w:p>
      <w:pPr>
        <w:pStyle w:val="ListBullet"/>
      </w:pPr>
      <w:r/>
      <w:r>
        <w:rPr>
          <w:rFonts w:ascii="Courier New" w:hAnsi="Courier New"/>
          <w:sz w:val="18"/>
        </w:rPr>
        <w:t>not_closure</w:t>
      </w:r>
      <w:r>
        <w:t>: another request, including cancelling a transfer, blocking a card, or deleting an app.</w:t>
      </w:r>
    </w:p>
    <w:p>
      <w:r>
        <w:t>Every implementation produces the same label map. Nobody writes a customer response or executes a banking action.</w:t>
      </w:r>
    </w:p>
    <w:p>
      <w:r>
        <w:t xml:space="preserve">A positive label recommends a human support queue. It is </w:t>
      </w:r>
      <w:r>
        <w:rPr>
          <w:b/>
        </w:rPr>
        <w:t>not authorization to close an account</w:t>
      </w:r>
      <w:r>
        <w:t>. Authentication, permissions and irreversible operations remain outside the classifier.</w:t>
      </w:r>
    </w:p>
    <w:p>
      <w:pPr>
        <w:jc w:val="center"/>
      </w:pPr>
      <w:r>
        <w:drawing>
          <wp:inline xmlns:a="http://schemas.openxmlformats.org/drawingml/2006/main" xmlns:pic="http://schemas.openxmlformats.org/drawingml/2006/picture">
            <wp:extent cx="6126480" cy="3446145"/>
            <wp:docPr id="2" name="Picture 2" descr="Customer text enters a general LLM, which returns either closure_request or not_closure. Both are classification labels, not permission to close an account."/>
            <wp:cNvGraphicFramePr>
              <a:graphicFrameLocks noChangeAspect="1"/>
            </wp:cNvGraphicFramePr>
            <a:graphic>
              <a:graphicData uri="http://schemas.openxmlformats.org/drawingml/2006/picture">
                <pic:pic>
                  <pic:nvPicPr>
                    <pic:cNvPr id="0" name="step-1.png"/>
                    <pic:cNvPicPr/>
                  </pic:nvPicPr>
                  <pic:blipFill>
                    <a:blip r:embed="rId11"/>
                    <a:stretch>
                      <a:fillRect/>
                    </a:stretch>
                  </pic:blipFill>
                  <pic:spPr>
                    <a:xfrm>
                      <a:off x="0" y="0"/>
                      <a:ext cx="6126480" cy="3446145"/>
                    </a:xfrm>
                    <a:prstGeom prst="rect"/>
                  </pic:spPr>
                </pic:pic>
              </a:graphicData>
            </a:graphic>
          </wp:inline>
        </w:drawing>
      </w:r>
    </w:p>
    <w:p>
      <w:r>
        <w:rPr>
          <w:i/>
        </w:rPr>
        <w:t>Baseline: a general LLM makes one bounded intent decision.</w:t>
      </w:r>
    </w:p>
    <w:p>
      <w:pPr>
        <w:pStyle w:val="Heading1"/>
      </w:pPr>
      <w:r>
        <w:t>Step 2 — compare the same job</w:t>
      </w:r>
    </w:p>
    <w:p>
      <w:r>
        <w:t xml:space="preserve">On October 4, 2026, I used unchanged public queries and intent labels from </w:t>
      </w:r>
      <w:r>
        <w:rPr>
          <w:b/>
        </w:rPr>
        <w:t>BANKING77</w:t>
      </w:r>
      <w:r>
        <w:t xml:space="preserve">. Its </w:t>
      </w:r>
      <w:r>
        <w:rPr>
          <w:rFonts w:ascii="Courier New" w:hAnsi="Courier New"/>
          <w:sz w:val="18"/>
        </w:rPr>
        <w:t>terminate_account</w:t>
      </w:r>
      <w:r>
        <w:t xml:space="preserve"> intent becomes </w:t>
      </w:r>
      <w:r>
        <w:rPr>
          <w:rFonts w:ascii="Courier New" w:hAnsi="Courier New"/>
          <w:sz w:val="18"/>
        </w:rPr>
        <w:t>closure_request</w:t>
      </w:r>
      <w:r>
        <w:t xml:space="preserve">; other intents become </w:t>
      </w:r>
      <w:r>
        <w:rPr>
          <w:rFonts w:ascii="Courier New" w:hAnsi="Courier New"/>
          <w:sz w:val="18"/>
        </w:rPr>
        <w:t>not_closure</w:t>
      </w:r>
      <w:r>
        <w:t>. This is not a full 77-intent benchmark.</w:t>
      </w:r>
    </w:p>
    <w:p>
      <w:r>
        <w:t>I froze forty training queries for calibration and sixty previously unused test queries for evaluation, balanced between the two labels. Most negatives came from cancellation, card and access intents. Exact duplicates and queries from an earlier unsuccessful experiment were excluded.</w:t>
      </w:r>
    </w:p>
    <w:p>
      <w:r>
        <w:t xml:space="preserve">Each request classified </w:t>
      </w:r>
      <w:r>
        <w:rPr>
          <w:b/>
        </w:rPr>
        <w:t>ten queries</w:t>
      </w:r>
      <w:r>
        <w:t>. Jev, GPT-5.6-Luna and GPT-5.6-Sol received the same texts and label descriptions—not expected answers or calibration examples. Each evaluation query ran three times per model, rotating execution order.</w:t>
      </w:r>
    </w:p>
    <w:p>
      <w:pPr>
        <w:jc w:val="center"/>
      </w:pPr>
      <w:r>
        <w:drawing>
          <wp:inline xmlns:a="http://schemas.openxmlformats.org/drawingml/2006/main" xmlns:pic="http://schemas.openxmlformats.org/drawingml/2006/picture">
            <wp:extent cx="6126480" cy="3446145"/>
            <wp:docPr id="3" name="Picture 3" descr="The comparison uses the same text and two-label rubric for Jev, GPT-5.6-Luna and GPT-5.6-Sol. Forty calibration queries are separate from sixty held-out queries, evaluated in batches of ten across three passes."/>
            <wp:cNvGraphicFramePr>
              <a:graphicFrameLocks noChangeAspect="1"/>
            </wp:cNvGraphicFramePr>
            <a:graphic>
              <a:graphicData uri="http://schemas.openxmlformats.org/drawingml/2006/picture">
                <pic:pic>
                  <pic:nvPicPr>
                    <pic:cNvPr id="0" name="step-2.png"/>
                    <pic:cNvPicPr/>
                  </pic:nvPicPr>
                  <pic:blipFill>
                    <a:blip r:embed="rId12"/>
                    <a:stretch>
                      <a:fillRect/>
                    </a:stretch>
                  </pic:blipFill>
                  <pic:spPr>
                    <a:xfrm>
                      <a:off x="0" y="0"/>
                      <a:ext cx="6126480" cy="3446145"/>
                    </a:xfrm>
                    <a:prstGeom prst="rect"/>
                  </pic:spPr>
                </pic:pic>
              </a:graphicData>
            </a:graphic>
          </wp:inline>
        </w:drawing>
      </w:r>
    </w:p>
    <w:p>
      <w:r>
        <w:rPr>
          <w:i/>
        </w:rPr>
        <w:t>Change: freeze the workload and separate calibration from evaluation.</w:t>
      </w:r>
    </w:p>
    <w:p>
      <w:pPr>
        <w:pStyle w:val="Heading1"/>
      </w:pPr>
      <w:r>
        <w:t>Step 3 — give Jev a Choice question</w:t>
      </w:r>
    </w:p>
    <w:p>
      <w:r>
        <w:t xml:space="preserve">Jev receives the queries as </w:t>
      </w:r>
      <w:r>
        <w:rPr>
          <w:b/>
        </w:rPr>
        <w:t>state</w:t>
      </w:r>
      <w:r>
        <w:t xml:space="preserve">: caller-supplied text or structured data. Ten </w:t>
      </w:r>
      <w:r>
        <w:rPr>
          <w:b/>
        </w:rPr>
        <w:t>Choice</w:t>
      </w:r>
      <w:r>
        <w:t xml:space="preserve"> questions each point to one query and use the same two answer descriptions.</w:t>
      </w:r>
    </w:p>
    <w:p>
      <w:r>
        <w:t>A real recorded boundary case was:</w:t>
      </w:r>
    </w:p>
    <w:p>
      <w:pPr>
        <w:spacing w:after="0"/>
      </w:pPr>
      <w:r>
        <w:rPr>
          <w:rFonts w:ascii="Courier New" w:hAnsi="Courier New"/>
          <w:sz w:val="20"/>
        </w:rPr>
        <w:t>Query: “How do I delete this banking account without deleting my phone app?”</w:t>
      </w:r>
    </w:p>
    <w:p>
      <w:pPr>
        <w:spacing w:after="0"/>
      </w:pPr>
      <w:r>
        <w:rPr>
          <w:rFonts w:ascii="Courier New" w:hAnsi="Courier New"/>
          <w:sz w:val="20"/>
        </w:rPr>
        <w:t>Jev choice: closure_request</w:t>
      </w:r>
    </w:p>
    <w:p>
      <w:r>
        <w:t>Deleting an app is not closing an account. Here, the customer explicitly wants the latter.</w:t>
      </w:r>
    </w:p>
    <w:p>
      <w:r>
        <w:t xml:space="preserve">Calibration selected cutoff </w:t>
      </w:r>
      <w:r>
        <w:rPr>
          <w:b/>
        </w:rPr>
        <w:t>0.0</w:t>
      </w:r>
      <w:r>
        <w:t>: ordinary top-choice classification. All forty calibration queries were correct. That policy was frozen before evaluation; it is not a production confidence guarantee. Never reuse a threshold just because it worked on another task.</w:t>
      </w:r>
    </w:p>
    <w:p>
      <w:pPr>
        <w:jc w:val="center"/>
      </w:pPr>
      <w:r>
        <w:drawing>
          <wp:inline xmlns:a="http://schemas.openxmlformats.org/drawingml/2006/main" xmlns:pic="http://schemas.openxmlformats.org/drawingml/2006/picture">
            <wp:extent cx="6126480" cy="3446145"/>
            <wp:docPr id="4" name="Picture 4" descr="Jev evaluates supplied query text with a Choice question and explicit definitions, returning closure_request or not_closure. It does not generate a customer reply or execute account closure."/>
            <wp:cNvGraphicFramePr>
              <a:graphicFrameLocks noChangeAspect="1"/>
            </wp:cNvGraphicFramePr>
            <a:graphic>
              <a:graphicData uri="http://schemas.openxmlformats.org/drawingml/2006/picture">
                <pic:pic>
                  <pic:nvPicPr>
                    <pic:cNvPr id="0" name="step-3.png"/>
                    <pic:cNvPicPr/>
                  </pic:nvPicPr>
                  <pic:blipFill>
                    <a:blip r:embed="rId13"/>
                    <a:stretch>
                      <a:fillRect/>
                    </a:stretch>
                  </pic:blipFill>
                  <pic:spPr>
                    <a:xfrm>
                      <a:off x="0" y="0"/>
                      <a:ext cx="6126480" cy="3446145"/>
                    </a:xfrm>
                    <a:prstGeom prst="rect"/>
                  </pic:spPr>
                </pic:pic>
              </a:graphicData>
            </a:graphic>
          </wp:inline>
        </w:drawing>
      </w:r>
    </w:p>
    <w:p>
      <w:r>
        <w:rPr>
          <w:i/>
        </w:rPr>
        <w:t>Change: replace general generation with a defined Choice output.</w:t>
      </w:r>
    </w:p>
    <w:p>
      <w:pPr>
        <w:pStyle w:val="Heading1"/>
      </w:pPr>
      <w:r>
        <w:t>Step 4 — measure time, cost and quality</w:t>
      </w:r>
    </w:p>
    <w:p>
      <w:r>
        <w:t xml:space="preserve">Against Luna, Jev was </w:t>
      </w:r>
      <w:r>
        <w:rPr>
          <w:b/>
        </w:rPr>
        <w:t>14.46× faster</w:t>
      </w:r>
      <w:r>
        <w:t xml:space="preserve"> and had an </w:t>
      </w:r>
      <w:r>
        <w:rPr>
          <w:b/>
        </w:rPr>
        <w:t>86.64% lower API-price-equivalent cost</w:t>
      </w:r>
      <w:r>
        <w:t xml:space="preserve">. Against Sol: </w:t>
      </w:r>
      <w:r>
        <w:rPr>
          <w:b/>
        </w:rPr>
        <w:t>16.67× faster</w:t>
      </w:r>
      <w:r>
        <w:t xml:space="preserve">, </w:t>
      </w:r>
      <w:r>
        <w:rPr>
          <w:b/>
        </w:rPr>
        <w:t>99.32% lower</w:t>
      </w:r>
      <w:r>
        <w:t>. Every model had 100% coverage. These are sixty unique queries—not 180 independent examples.</w:t>
      </w:r>
    </w:p>
    <w:p>
      <w:r>
        <w:t xml:space="preserve">The LLMs used a warm, persistent minimal </w:t>
      </w:r>
      <w:r>
        <w:rPr>
          <w:b/>
        </w:rPr>
        <w:t>Codex adapter</w:t>
      </w:r>
      <w:r>
        <w:t xml:space="preserve">, with low reasoning and unrelated features disabled. Startup was excluded, but framework/system context remained. This compares the </w:t>
      </w:r>
      <w:r>
        <w:rPr>
          <w:b/>
        </w:rPr>
        <w:t>tested integrations</w:t>
      </w:r>
      <w:r>
        <w:t>, not bare OpenAI API inference.</w:t>
      </w:r>
    </w:p>
    <w:p>
      <w:r>
        <w:t xml:space="preserve">Dollar figures use actual reported tokens/cache hits and published API rates. They are </w:t>
      </w:r>
      <w:r>
        <w:rPr>
          <w:b/>
        </w:rPr>
        <w:t>not invoices or savings on a ChatGPT subscription bill</w:t>
      </w:r>
      <w:r>
        <w:t>. Even pricing all measured LLM input as cached, Jev remained 45.08% below Luna’s equivalent. That is a modeled cache scenario, not another measured run.</w:t>
      </w:r>
    </w:p>
    <w:p>
      <w:pPr>
        <w:jc w:val="center"/>
      </w:pPr>
      <w:r>
        <w:drawing>
          <wp:inline xmlns:a="http://schemas.openxmlformats.org/drawingml/2006/main" xmlns:pic="http://schemas.openxmlformats.org/drawingml/2006/picture">
            <wp:extent cx="6126480" cy="3446145"/>
            <wp:docPr id="5" name="Picture 5" descr="Measured comparison table: all three implementations return 180 correct decisions out of 180. Median ten-query batches are Jev 0.301 seconds, Luna through Codex 4.357 seconds and Sol through Codex 5.024 seconds. Rounded API-price equivalents per hundred queries are $0.00110, $0.00827 and $0.16199. The results describe these integrations, not invoices or universal model performance."/>
            <wp:cNvGraphicFramePr>
              <a:graphicFrameLocks noChangeAspect="1"/>
            </wp:cNvGraphicFramePr>
            <a:graphic>
              <a:graphicData uri="http://schemas.openxmlformats.org/drawingml/2006/picture">
                <pic:pic>
                  <pic:nvPicPr>
                    <pic:cNvPr id="0" name="step-4.png"/>
                    <pic:cNvPicPr/>
                  </pic:nvPicPr>
                  <pic:blipFill>
                    <a:blip r:embed="rId14"/>
                    <a:stretch>
                      <a:fillRect/>
                    </a:stretch>
                  </pic:blipFill>
                  <pic:spPr>
                    <a:xfrm>
                      <a:off x="0" y="0"/>
                      <a:ext cx="6126480" cy="3446145"/>
                    </a:xfrm>
                    <a:prstGeom prst="rect"/>
                  </pic:spPr>
                </pic:pic>
              </a:graphicData>
            </a:graphic>
          </wp:inline>
        </w:drawing>
      </w:r>
    </w:p>
    <w:p>
      <w:r>
        <w:rPr>
          <w:i/>
        </w:rPr>
        <w:t>Change: accept the narrower model only after checking all three outcomes.</w:t>
      </w:r>
    </w:p>
    <w:p>
      <w:pPr>
        <w:pStyle w:val="Heading1"/>
      </w:pPr>
      <w:r>
        <w:t>Keep the claim as small as the experiment</w:t>
      </w:r>
    </w:p>
    <w:p>
      <w:r>
        <w:t>All three models also passed thirty authored boundary cases, repeated three times: negation, reopening, quoted requests and cancelling a scheduled closure. Those synthetic cases are reported separately.</w:t>
      </w:r>
    </w:p>
    <w:p>
      <w:r>
        <w:t>An untuned keyword rule got 55/60 public queries right; its misses were simple synonyms/plurals. Improving that rule might solve this sample. Jev is not automatically necessary.</w:t>
      </w:r>
    </w:p>
    <w:p>
      <w:r>
        <w:t xml:space="preserve">Earlier file-screening and broad-routing experiments did </w:t>
      </w:r>
      <w:r>
        <w:rPr>
          <w:b/>
        </w:rPr>
        <w:t>not</w:t>
      </w:r>
      <w:r>
        <w:t xml:space="preserve"> establish a Jev improvement. This result does not rescue those claims. The sample is small and balanced; public-benchmark training exposure is unknown.</w:t>
      </w:r>
    </w:p>
    <w:p>
      <w:r/>
      <w:r>
        <w:rPr>
          <w:b/>
        </w:rPr>
        <w:t>Choose the smallest sufficient mechanism, then measure it.</w:t>
      </w:r>
      <w:r>
        <w:t xml:space="preserve"> This experiment supports Jev for a bounded semantic recommendation—not replacing an LLM’s reasoning or claiming an entire application became 14× faster. The companion report preserves the protocol, datasets, every measured prediction, usage and earlier negative results.</w:t>
      </w:r>
    </w:p>
    <w:p>
      <w:hyperlink r:id="rId25">
        <w:r>
          <w:rPr>
            <w:color w:val="076B9B"/>
          </w:rPr>
          <w:t>Experiment report and reproducible evidence</w:t>
        </w:r>
      </w:hyperlink>
      <w:r>
        <w:t>, pinned to the published evidence commit.</w:t>
      </w:r>
    </w:p>
    <w:p>
      <w:r>
        <w:t xml:space="preserve">If your team needs help choosing and implementing the right model for an AI workflow, </w:t>
      </w:r>
      <w:hyperlink r:id="rId15">
        <w:r>
          <w:rPr>
            <w:rStyle w:val="Hyperlink"/>
          </w:rPr>
          <w:t>email me</w:t>
        </w:r>
      </w:hyperlink>
      <w:r>
        <w:t xml:space="preserve"> about a monthly programming-contractor retainer.</w:t>
      </w:r>
    </w:p>
    <w:p>
      <w:pPr>
        <w:pStyle w:val="Heading1"/>
      </w:pPr>
      <w:r>
        <w:t>Sources</w:t>
      </w:r>
    </w:p>
    <w:p>
      <w:pPr>
        <w:pStyle w:val="ListBullet"/>
      </w:pPr>
      <w:r/>
      <w:hyperlink r:id="rId16">
        <w:r>
          <w:rPr>
            <w:rStyle w:val="Hyperlink"/>
          </w:rPr>
          <w:t>PolyAI: BANKING77 dataset</w:t>
        </w:r>
      </w:hyperlink>
      <w:r>
        <w:t xml:space="preserve">, </w:t>
      </w:r>
      <w:hyperlink r:id="rId17">
        <w:r>
          <w:rPr>
            <w:rStyle w:val="Hyperlink"/>
          </w:rPr>
          <w:t>Casanueva et al. (2020)</w:t>
        </w:r>
      </w:hyperlink>
      <w:r>
        <w:t xml:space="preserve">; </w:t>
      </w:r>
      <w:hyperlink r:id="rId18">
        <w:r>
          <w:rPr>
            <w:rStyle w:val="Hyperlink"/>
          </w:rPr>
          <w:t>CC BY 4.0</w:t>
        </w:r>
      </w:hyperlink>
      <w:r>
        <w:t>. Adaptation: binary labels and fixed-seed subsets.</w:t>
      </w:r>
    </w:p>
    <w:p>
      <w:pPr>
        <w:pStyle w:val="ListBullet"/>
      </w:pPr>
      <w:r/>
      <w:hyperlink r:id="rId19">
        <w:r>
          <w:rPr>
            <w:rStyle w:val="Hyperlink"/>
          </w:rPr>
          <w:t>TypeSafe: State</w:t>
        </w:r>
      </w:hyperlink>
      <w:r>
        <w:t xml:space="preserve">, </w:t>
      </w:r>
      <w:hyperlink r:id="rId20">
        <w:r>
          <w:rPr>
            <w:rStyle w:val="Hyperlink"/>
          </w:rPr>
          <w:t>Choice</w:t>
        </w:r>
      </w:hyperlink>
      <w:r>
        <w:t xml:space="preserve">, </w:t>
      </w:r>
      <w:hyperlink r:id="rId21">
        <w:r>
          <w:rPr>
            <w:rStyle w:val="Hyperlink"/>
          </w:rPr>
          <w:t>Confidence</w:t>
        </w:r>
      </w:hyperlink>
      <w:r>
        <w:t xml:space="preserve">, </w:t>
      </w:r>
      <w:hyperlink r:id="rId22">
        <w:r>
          <w:rPr>
            <w:rStyle w:val="Hyperlink"/>
          </w:rPr>
          <w:t>Models and pricing</w:t>
        </w:r>
      </w:hyperlink>
      <w:r>
        <w:t>.</w:t>
      </w:r>
    </w:p>
    <w:p>
      <w:pPr>
        <w:pStyle w:val="ListBullet"/>
      </w:pPr>
      <w:r/>
      <w:hyperlink r:id="rId23">
        <w:r>
          <w:rPr>
            <w:rStyle w:val="Hyperlink"/>
          </w:rPr>
          <w:t>OpenAI: Pricing</w:t>
        </w:r>
      </w:hyperlink>
      <w:r>
        <w:t xml:space="preserve">, </w:t>
      </w:r>
      <w:hyperlink r:id="rId24">
        <w:r>
          <w:rPr>
            <w:rStyle w:val="Hyperlink"/>
          </w:rPr>
          <w:t>Codex app-server</w:t>
        </w:r>
      </w:hyperlink>
      <w:r>
        <w: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7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7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image" Target="media/image1.png" /><ns0:Relationship Id="rId10" Type="http://schemas.openxmlformats.org/officeDocument/2006/relationships/hyperlink" Target="https://docs.typesafe.ai/introduction" TargetMode="External" /><ns0:Relationship Id="rId11" Type="http://schemas.openxmlformats.org/officeDocument/2006/relationships/image" Target="media/image2.png" /><ns0:Relationship Id="rId12" Type="http://schemas.openxmlformats.org/officeDocument/2006/relationships/image" Target="media/image3.png" /><ns0:Relationship Id="rId13" Type="http://schemas.openxmlformats.org/officeDocument/2006/relationships/image" Target="media/image4.png" /><ns0:Relationship Id="rId14" Type="http://schemas.openxmlformats.org/officeDocument/2006/relationships/image" Target="media/image5.png" /><ns0:Relationship Id="rId15" Type="http://schemas.openxmlformats.org/officeDocument/2006/relationships/hyperlink" Target="mailto:bar.idan@gmail.com" TargetMode="External" /><ns0:Relationship Id="rId16" Type="http://schemas.openxmlformats.org/officeDocument/2006/relationships/hyperlink" Target="https://github.com/PolyAI-LDN/task-specific-datasets" TargetMode="External" /><ns0:Relationship Id="rId17" Type="http://schemas.openxmlformats.org/officeDocument/2006/relationships/hyperlink" Target="https://arxiv.org/abs/2003.04807" TargetMode="External" /><ns0:Relationship Id="rId18" Type="http://schemas.openxmlformats.org/officeDocument/2006/relationships/hyperlink" Target="https://creativecommons.org/licenses/by/4.0/" TargetMode="External" /><ns0:Relationship Id="rId19" Type="http://schemas.openxmlformats.org/officeDocument/2006/relationships/hyperlink" Target="https://docs.typesafe.ai/concepts/state" TargetMode="External" /><ns0:Relationship Id="rId20" Type="http://schemas.openxmlformats.org/officeDocument/2006/relationships/hyperlink" Target="https://docs.typesafe.ai/primitives/choice" TargetMode="External" /><ns0:Relationship Id="rId21" Type="http://schemas.openxmlformats.org/officeDocument/2006/relationships/hyperlink" Target="https://docs.typesafe.ai/confidence" TargetMode="External" /><ns0:Relationship Id="rId22" Type="http://schemas.openxmlformats.org/officeDocument/2006/relationships/hyperlink" Target="https://docs.typesafe.ai/models" TargetMode="External" /><ns0:Relationship Id="rId23" Type="http://schemas.openxmlformats.org/officeDocument/2006/relationships/hyperlink" Target="https://developers.openai.com/api/docs/pricing" TargetMode="External" /><ns0:Relationship Id="rId24" Type="http://schemas.openxmlformats.org/officeDocument/2006/relationships/hyperlink" Target="https://learn.chatgpt.com/docs/app-server" TargetMode="External" /><ns0:Relationship Id="rId25" Type="http://schemas.openxmlformats.org/officeDocument/2006/relationships/hyperlink" Target="https://github.com/tickets-forge-dev/articles/blob/f598a2b22187cf749a5558e090a913e6335ebf39/artifacts/article-series/part-4-coding/account-closure-comparison-2026-10-04/evidence.md"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Jev vs. an LLM for Intent Classification</dc:title>
  <dc:subject>Final publication copy; measured intent classification with five inline PNGs</dc:subject>
  <dc:creator/>
  <cp:keywords/>
  <dc:description>generated by python-docx</dc:description>
  <cp:lastModifiedBy/>
  <cp:revision>1</cp:revision>
  <dcterms:created xsi:type="dcterms:W3CDTF">2026-10-04T19:09:25Z</dcterms:created>
  <dcterms:modified xsi:type="dcterms:W3CDTF">2026-10-06T09:13:01Z</dcterms:modified>
  <cp:category/>
</cp:coreProperties>
</file>