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5FBCEB9A" w:rsidR="00804817" w:rsidRPr="004F7E7F" w:rsidRDefault="00EF312F" w:rsidP="00D45C8B">
      <w:pPr>
        <w:tabs>
          <w:tab w:val="right" w:leader="hyphen" w:pos="9072"/>
        </w:tabs>
        <w:spacing w:line="360" w:lineRule="auto"/>
        <w:outlineLvl w:val="0"/>
      </w:pPr>
      <w:r>
        <w:t>NÚMERO: Ú</w:t>
      </w:r>
      <w:r w:rsidR="00DB7FC7">
        <w:t>NICA</w:t>
      </w:r>
      <w:r w:rsidR="00EE6961">
        <w:tab/>
      </w:r>
    </w:p>
    <w:p w14:paraId="17CAB6D6" w14:textId="5248FE86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F723B5">
        <w:t>2018-05-21</w:t>
      </w:r>
      <w:r w:rsidR="00EE6961">
        <w:tab/>
      </w:r>
    </w:p>
    <w:p w14:paraId="03CACBCB" w14:textId="4B9607AD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="00EC0B13">
        <w:t>vinte e um</w:t>
      </w:r>
      <w:r w:rsidRPr="004F7E7F">
        <w:t xml:space="preserve"> dias do mês de </w:t>
      </w:r>
      <w:r w:rsidR="00EC0B13">
        <w:t xml:space="preserve">maio </w:t>
      </w:r>
      <w:r w:rsidRPr="004F7E7F">
        <w:t xml:space="preserve">do ano dois mil e dezoito, na sede </w:t>
      </w:r>
      <w:r w:rsidR="0021579C" w:rsidRPr="004F7E7F">
        <w:t>d</w:t>
      </w:r>
      <w:r w:rsidR="00183467" w:rsidRPr="004F7E7F">
        <w:t xml:space="preserve">a </w:t>
      </w:r>
      <w:proofErr w:type="spellStart"/>
      <w:r w:rsidR="00C15FEB">
        <w:t>Gesminho</w:t>
      </w:r>
      <w:proofErr w:type="spellEnd"/>
      <w:r w:rsidR="00C15FEB">
        <w:t xml:space="preserve"> – Assessoria de Negócios</w:t>
      </w:r>
      <w:r w:rsidR="00C15FEB" w:rsidRPr="004F7E7F">
        <w:t>, Lda</w:t>
      </w:r>
      <w:r w:rsidR="00C15FEB">
        <w:t xml:space="preserve">. </w:t>
      </w:r>
      <w:r w:rsidR="00D45C8B">
        <w:t>(ORGANIZAÇÃO)</w:t>
      </w:r>
      <w:r w:rsidR="000B70E6">
        <w:t>, na</w:t>
      </w:r>
      <w:r w:rsidR="00183467" w:rsidRPr="004F7E7F">
        <w:t xml:space="preserve"> </w:t>
      </w:r>
      <w:r w:rsidR="00F723B5">
        <w:t xml:space="preserve">Av. Alcaides Faria, 402, 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freguesia de </w:t>
      </w:r>
      <w:r w:rsidR="00F723B5">
        <w:rPr>
          <w:rFonts w:eastAsia="Times New Roman" w:cs="Arial"/>
          <w:color w:val="000000" w:themeColor="text1"/>
          <w:shd w:val="clear" w:color="auto" w:fill="FFFFFF"/>
          <w:lang w:eastAsia="pt-PT"/>
        </w:rPr>
        <w:t>Arcozelo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F723B5">
        <w:rPr>
          <w:rFonts w:eastAsia="Times New Roman" w:cs="Times New Roman"/>
          <w:color w:val="000000" w:themeColor="text1"/>
          <w:lang w:eastAsia="pt-PT"/>
        </w:rPr>
        <w:t>o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F723B5">
        <w:t>José Rodrigues</w:t>
      </w:r>
      <w:r w:rsidR="00FF73CD" w:rsidRPr="004F7E7F">
        <w:t xml:space="preserve">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0B78AEA5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B70E6">
        <w:t>ORGANIZAÇÃO</w:t>
      </w:r>
      <w:r w:rsidR="000F7659" w:rsidRPr="004F7E7F">
        <w:t xml:space="preserve">, </w:t>
      </w:r>
      <w:r w:rsidR="00525CA1">
        <w:t xml:space="preserve">levada a cabo </w:t>
      </w:r>
      <w:r w:rsidR="00A17D48">
        <w:t>a</w:t>
      </w:r>
      <w:r w:rsidR="00525CA1">
        <w:t xml:space="preserve"> </w:t>
      </w:r>
      <w:r w:rsidR="00A17D48">
        <w:t xml:space="preserve">quatro de </w:t>
      </w:r>
      <w:r w:rsidR="008B2D30">
        <w:t>m</w:t>
      </w:r>
      <w:r w:rsidR="00F723B5">
        <w:t>aio</w:t>
      </w:r>
      <w:r w:rsidR="00525CA1">
        <w:t xml:space="preserve">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6DB0CEE4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8B2D30">
        <w:t>quarenta e cinco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8B2D30">
        <w:t>dezassete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 xml:space="preserve">As restantes </w:t>
      </w:r>
      <w:r w:rsidR="00A17D48">
        <w:t xml:space="preserve">vinte e </w:t>
      </w:r>
      <w:r w:rsidR="008B2D30">
        <w:t>oito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535F0B86" w:rsidR="002427B2" w:rsidRDefault="008B2D30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As palavras-passe que os</w:t>
      </w:r>
      <w:r w:rsidR="002427B2">
        <w:t xml:space="preserve"> utilizadores </w:t>
      </w:r>
      <w:r w:rsidR="00886683">
        <w:t>usam para se autenticarem no sistema operativo é demasiado fraca. Os utilizadores</w:t>
      </w:r>
      <w:r>
        <w:t>, de acordo com o Regulamento do S</w:t>
      </w:r>
      <w:r>
        <w:t xml:space="preserve">istema, </w:t>
      </w:r>
      <w:r w:rsidR="00886683">
        <w:t xml:space="preserve">devem autenticar-se com uma palavra-chave </w:t>
      </w:r>
      <w:r>
        <w:t xml:space="preserve">complexa </w:t>
      </w:r>
      <w:r w:rsidR="00886683">
        <w:t>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26B4296A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68A5968E" w14:textId="29069517" w:rsidR="004B6147" w:rsidRPr="004B6147" w:rsidRDefault="004B6147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Pr="008735FD">
        <w:rPr>
          <w:color w:val="000000" w:themeColor="text1"/>
        </w:rPr>
        <w:t xml:space="preserve"> computadores que são movidos para fora da esfera física da ORGANIZAÇÃO sem um mecanismo de encriptação de ficheiros em funcionamento que garanta a ilegibilidade do conteúdo. Sem um mecanismo de encriptação, em caso de roubo ou perda, os dados do dispositivo extraviado podem ser consultados por estranhos ao SISTEMA</w:t>
      </w:r>
      <w:r>
        <w:rPr>
          <w:color w:val="000000" w:themeColor="text1"/>
        </w:rPr>
        <w:t>.</w:t>
      </w:r>
    </w:p>
    <w:p w14:paraId="7C926E51" w14:textId="761C5784" w:rsidR="004B6147" w:rsidRDefault="004B6147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rPr>
          <w:color w:val="000000" w:themeColor="text1"/>
        </w:rPr>
        <w:t>Verificou-se o uso de</w:t>
      </w:r>
      <w:r w:rsidRPr="008735FD">
        <w:rPr>
          <w:color w:val="000000" w:themeColor="text1"/>
        </w:rPr>
        <w:t xml:space="preserve"> mecanismos automáticos para guardar palavras-chave para facilitar o acesso a </w:t>
      </w:r>
      <w:r w:rsidRPr="008735FD">
        <w:rPr>
          <w:i/>
          <w:color w:val="000000" w:themeColor="text1"/>
        </w:rPr>
        <w:t>sites</w:t>
      </w:r>
      <w:r w:rsidRPr="008735FD">
        <w:rPr>
          <w:color w:val="000000" w:themeColor="text1"/>
        </w:rPr>
        <w:t xml:space="preserve"> ou recursos nos dispositivos. No caso de invasão do computador, estas autenticações automáticas facilitam o acesso descontrolado à informação desses sites ou recursos</w:t>
      </w:r>
      <w:r w:rsidR="009B5F76">
        <w:rPr>
          <w:color w:val="000000" w:themeColor="text1"/>
        </w:rPr>
        <w:t>.</w:t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528F0A12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3E9BB00C" w:rsidR="0052255C" w:rsidRPr="004F7E7F" w:rsidRDefault="004B6147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>
        <w:t>Verificar com o Administrador do Sistema a necessidade de s</w:t>
      </w:r>
      <w:r w:rsidR="0052255C" w:rsidRPr="004F7E7F">
        <w:t>ubstituir consumíveis do</w:t>
      </w:r>
      <w:r>
        <w:t>s computadores da ORGANIZAÇÃO</w:t>
      </w:r>
      <w:r w:rsidR="009B5F76">
        <w:t xml:space="preserve"> (CPF001, CPF002 e </w:t>
      </w:r>
      <w:r>
        <w:t>CPF003)</w:t>
      </w:r>
      <w:r w:rsidR="00CB574D">
        <w:t>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33F5AA05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D14988">
        <w:t xml:space="preserve"> USR002</w:t>
      </w:r>
      <w:r>
        <w:t xml:space="preserve"> (ver Caracterização do Sistema no DSPI)</w:t>
      </w:r>
      <w:r w:rsidR="00D14988">
        <w:t xml:space="preserve">,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9B5F76">
        <w:t>executar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 w:rsidR="00D14988">
        <w:t xml:space="preserve"> </w:t>
      </w:r>
      <w:r w:rsidR="009B5F76">
        <w:t>d</w:t>
      </w:r>
      <w:r w:rsidR="00D14988">
        <w:t xml:space="preserve">o DEA001 </w:t>
      </w:r>
      <w:r w:rsidR="00D14988">
        <w:t>t</w:t>
      </w:r>
      <w:r w:rsidR="00D14988">
        <w:t>odas as terças e quintas-feiras</w:t>
      </w:r>
      <w:r>
        <w:t>,</w:t>
      </w:r>
      <w:r w:rsidR="00461CB8" w:rsidRPr="004F7E7F">
        <w:t xml:space="preserve"> e</w:t>
      </w:r>
      <w:r w:rsidR="00D14988">
        <w:t xml:space="preserve"> de</w:t>
      </w:r>
      <w:r w:rsidR="00461CB8" w:rsidRPr="004F7E7F">
        <w:t xml:space="preserve"> monitorizar o equipamento de redundância elétrica</w:t>
      </w:r>
      <w:r w:rsidR="00D14988">
        <w:t xml:space="preserve"> todas as sextas-feiras</w:t>
      </w:r>
      <w:r>
        <w:t>.</w:t>
      </w:r>
      <w:r w:rsidR="00D14988">
        <w:t xml:space="preserve"> Ao USR003 </w:t>
      </w:r>
      <w:r w:rsidR="009B5F76">
        <w:t xml:space="preserve">decidiu que </w:t>
      </w:r>
      <w:r w:rsidR="00D14988">
        <w:t xml:space="preserve">seria atribuída a responsabilidade </w:t>
      </w:r>
      <w:r w:rsidR="009B5F76">
        <w:t xml:space="preserve">de </w:t>
      </w:r>
      <w:r w:rsidR="00D14988">
        <w:t>executar</w:t>
      </w:r>
      <w:r w:rsidR="00D14988" w:rsidRPr="004F7E7F">
        <w:t xml:space="preserve"> e verificar </w:t>
      </w:r>
      <w:r w:rsidR="00D14988">
        <w:t xml:space="preserve">as </w:t>
      </w:r>
      <w:r w:rsidR="00D14988" w:rsidRPr="004F7E7F">
        <w:t>cópias de segurança</w:t>
      </w:r>
      <w:r w:rsidR="00D14988">
        <w:t xml:space="preserve"> </w:t>
      </w:r>
      <w:r w:rsidR="009B5F76">
        <w:t>d</w:t>
      </w:r>
      <w:r w:rsidR="00D14988">
        <w:t>o DEA002</w:t>
      </w:r>
      <w:r w:rsidR="00D14988">
        <w:t xml:space="preserve"> todas as </w:t>
      </w:r>
      <w:r w:rsidR="00D14988">
        <w:t>segundas, quartas</w:t>
      </w:r>
      <w:r w:rsidR="00D14988">
        <w:t xml:space="preserve"> e </w:t>
      </w:r>
      <w:r w:rsidR="00D14988">
        <w:t>sextas</w:t>
      </w:r>
      <w:r w:rsidR="00D14988">
        <w:t>-feiras</w:t>
      </w:r>
      <w:r w:rsidR="00461CB8" w:rsidRPr="004F7E7F">
        <w:t xml:space="preserve">. </w:t>
      </w:r>
      <w:r w:rsidR="008D5B3C">
        <w:tab/>
      </w:r>
    </w:p>
    <w:p w14:paraId="0AC58947" w14:textId="3F23ACB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enfatizando a necessidade de se cumprir com zelo </w:t>
      </w:r>
      <w:r w:rsidR="009B5F76">
        <w:rPr>
          <w:color w:val="000000" w:themeColor="text1"/>
        </w:rPr>
        <w:t>as responsabilidades atribuídas.</w:t>
      </w:r>
      <w:r>
        <w:rPr>
          <w:color w:val="000000" w:themeColor="text1"/>
        </w:rPr>
        <w:tab/>
      </w:r>
    </w:p>
    <w:p w14:paraId="6E948C9B" w14:textId="5F35588E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1071D8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</w:t>
      </w:r>
      <w:r w:rsidR="00D14988">
        <w:t>rabilidade d</w:t>
      </w:r>
      <w:r w:rsidR="0062310B" w:rsidRPr="0062310B">
        <w:t>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09AA9703" w:rsidR="0069477C" w:rsidRPr="00A14ACB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D14988">
        <w:t xml:space="preserve"> e o DEA002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 xml:space="preserve">, </w:t>
      </w:r>
      <w:r w:rsidR="00D14988">
        <w:t>estão</w:t>
      </w:r>
      <w:r w:rsidR="00A2735D">
        <w:t xml:space="preserve"> </w:t>
      </w:r>
      <w:r w:rsidR="006B6B46" w:rsidRPr="004F7E7F">
        <w:t>autori</w:t>
      </w:r>
      <w:r w:rsidR="00D14988">
        <w:t>zado</w:t>
      </w:r>
      <w:r w:rsidR="00A2735D">
        <w:t>s</w:t>
      </w:r>
      <w:r w:rsidR="00D14988">
        <w:t xml:space="preserve"> a serem utilizados </w:t>
      </w:r>
      <w:r w:rsidR="00A14ACB">
        <w:t xml:space="preserve">respetivamente </w:t>
      </w:r>
      <w:r w:rsidR="00D14988">
        <w:t>pelo USR002</w:t>
      </w:r>
      <w:r w:rsidR="006B6B46" w:rsidRPr="004F7E7F">
        <w:t xml:space="preserve"> no </w:t>
      </w:r>
      <w:r w:rsidR="00A17D48">
        <w:t>CPF001</w:t>
      </w:r>
      <w:r w:rsidR="00A14ACB">
        <w:t xml:space="preserve"> e pelo URS003 no CPF003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 xml:space="preserve">uma vez que </w:t>
      </w:r>
      <w:r w:rsidR="00A14ACB">
        <w:rPr>
          <w:color w:val="000000" w:themeColor="text1"/>
        </w:rPr>
        <w:t>são</w:t>
      </w:r>
      <w:r w:rsidR="006B6B46" w:rsidRPr="00DD4F68">
        <w:rPr>
          <w:color w:val="000000" w:themeColor="text1"/>
        </w:rPr>
        <w:t xml:space="preserve"> utilizado</w:t>
      </w:r>
      <w:r w:rsidR="00A14ACB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A14ACB">
        <w:rPr>
          <w:color w:val="000000" w:themeColor="text1"/>
        </w:rPr>
        <w:t xml:space="preserve"> Ambos os dispositivos poderão ainda ser manipulados pelo Administrador do Sistema no SVR001 para reposição do sistema em caso de perda ou destruição de dados.</w:t>
      </w:r>
      <w:r w:rsidR="004E2C6D">
        <w:rPr>
          <w:color w:val="000000" w:themeColor="text1"/>
        </w:rPr>
        <w:tab/>
      </w:r>
    </w:p>
    <w:p w14:paraId="5FC074D4" w14:textId="120D5F77" w:rsidR="00A14ACB" w:rsidRPr="00DF58A9" w:rsidRDefault="00A14ACB" w:rsidP="00A2735D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USR001 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 xml:space="preserve">zado </w:t>
      </w:r>
      <w:r w:rsidR="00A2735D">
        <w:t xml:space="preserve">a </w:t>
      </w:r>
      <w:r>
        <w:t xml:space="preserve">mover o CPP001 para fora das instalações da ORGANIZAÇÃO, de forma a ser usado </w:t>
      </w:r>
      <w:r>
        <w:t>na execução de serviço externo, prestado fora das instalações da ORGANIZAÇÃO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481320C" w14:textId="4FDC54C1" w:rsidR="00DF58A9" w:rsidRPr="00DF58A9" w:rsidRDefault="00EF312F" w:rsidP="00DF58A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>
        <w:t>O</w:t>
      </w:r>
      <w:r w:rsidR="00DF58A9" w:rsidRPr="004F7E7F">
        <w:t xml:space="preserve"> rec</w:t>
      </w:r>
      <w:r>
        <w:t>urso REC001</w:t>
      </w:r>
      <w:r w:rsidR="00A2735D">
        <w:t xml:space="preserve"> e REC002</w:t>
      </w:r>
      <w:r w:rsidR="00DF58A9">
        <w:t xml:space="preserve"> (ver</w:t>
      </w:r>
      <w:r w:rsidR="00DF58A9" w:rsidRPr="004F7E7F">
        <w:t xml:space="preserve"> Caracterização do Sistema </w:t>
      </w:r>
      <w:r w:rsidR="00DF58A9">
        <w:t>n</w:t>
      </w:r>
      <w:r w:rsidR="00DF58A9" w:rsidRPr="004F7E7F">
        <w:t>o DSPI</w:t>
      </w:r>
      <w:r w:rsidR="00DF58A9">
        <w:t>)</w:t>
      </w:r>
      <w:r w:rsidR="00DF58A9" w:rsidRPr="004F7E7F">
        <w:t>, pode</w:t>
      </w:r>
      <w:r w:rsidR="00A2735D">
        <w:t>m</w:t>
      </w:r>
      <w:r w:rsidR="00DF58A9" w:rsidRPr="004F7E7F">
        <w:t xml:space="preserve"> ser acedido</w:t>
      </w:r>
      <w:r w:rsidR="00A2735D">
        <w:t>s</w:t>
      </w:r>
      <w:r w:rsidR="00DF58A9">
        <w:t xml:space="preserve"> pelos utilizadores USR001</w:t>
      </w:r>
      <w:r w:rsidR="00A2735D">
        <w:t>,</w:t>
      </w:r>
      <w:r w:rsidR="00DF58A9">
        <w:t xml:space="preserve"> USR002</w:t>
      </w:r>
      <w:r w:rsidR="00A2735D">
        <w:t xml:space="preserve"> e USR003</w:t>
      </w:r>
      <w:r w:rsidR="00DF58A9" w:rsidRPr="004F7E7F">
        <w:t xml:space="preserve">, </w:t>
      </w:r>
      <w:r w:rsidR="00DF58A9" w:rsidRPr="00845D79">
        <w:rPr>
          <w:color w:val="000000" w:themeColor="text1"/>
        </w:rPr>
        <w:t>por ser considerado necessário</w:t>
      </w:r>
      <w:r w:rsidR="00DF58A9" w:rsidRPr="00485EB5">
        <w:rPr>
          <w:color w:val="000000" w:themeColor="text1"/>
        </w:rPr>
        <w:t xml:space="preserve"> para </w:t>
      </w:r>
      <w:r w:rsidR="00DF58A9" w:rsidRPr="00845D79">
        <w:rPr>
          <w:color w:val="000000" w:themeColor="text1"/>
        </w:rPr>
        <w:t xml:space="preserve">que </w:t>
      </w:r>
      <w:r w:rsidR="00A2735D">
        <w:rPr>
          <w:color w:val="000000" w:themeColor="text1"/>
        </w:rPr>
        <w:t>estes utilizadores</w:t>
      </w:r>
      <w:r w:rsidR="00DF58A9" w:rsidRPr="00845D79">
        <w:rPr>
          <w:color w:val="000000" w:themeColor="text1"/>
        </w:rPr>
        <w:t xml:space="preserve"> </w:t>
      </w:r>
      <w:r w:rsidR="00DF58A9">
        <w:rPr>
          <w:color w:val="000000" w:themeColor="text1"/>
        </w:rPr>
        <w:t>possa</w:t>
      </w:r>
      <w:r w:rsidR="00A2735D">
        <w:rPr>
          <w:color w:val="000000" w:themeColor="text1"/>
        </w:rPr>
        <w:t>m</w:t>
      </w:r>
      <w:r w:rsidR="00DF58A9" w:rsidRPr="00845D79">
        <w:rPr>
          <w:color w:val="000000" w:themeColor="text1"/>
        </w:rPr>
        <w:t xml:space="preserve"> desempenhar as suas funções na ORGANIZAÇÃO. </w:t>
      </w:r>
      <w:r w:rsidR="00A2735D">
        <w:rPr>
          <w:color w:val="000000" w:themeColor="text1"/>
        </w:rPr>
        <w:t>O Administrador do Sistema também está autorizado a aceder estes recursos de modo a que possa prestar</w:t>
      </w:r>
      <w:r w:rsidR="00A2735D">
        <w:rPr>
          <w:color w:val="000000" w:themeColor="text1"/>
        </w:rPr>
        <w:t xml:space="preserve"> suporte técnico à ORGANIZAÇÃO</w:t>
      </w:r>
      <w:r w:rsidR="00A2735D">
        <w:rPr>
          <w:color w:val="000000" w:themeColor="text1"/>
        </w:rPr>
        <w:t xml:space="preserve">. </w:t>
      </w:r>
      <w:r w:rsidR="00DF58A9">
        <w:rPr>
          <w:color w:val="000000" w:themeColor="text1"/>
        </w:rPr>
        <w:t>Neste recurso</w:t>
      </w:r>
      <w:r w:rsidR="00A2735D">
        <w:rPr>
          <w:color w:val="000000" w:themeColor="text1"/>
        </w:rPr>
        <w:t xml:space="preserve"> constam, respetivamente, </w:t>
      </w:r>
      <w:r w:rsidR="00DF58A9" w:rsidRPr="00845D79">
        <w:rPr>
          <w:color w:val="000000" w:themeColor="text1"/>
        </w:rPr>
        <w:t>as bases de dado</w:t>
      </w:r>
      <w:r w:rsidR="00DF58A9">
        <w:rPr>
          <w:color w:val="000000" w:themeColor="text1"/>
        </w:rPr>
        <w:t>s operacionais do ERP Primavera</w:t>
      </w:r>
      <w:r w:rsidR="00A2735D">
        <w:rPr>
          <w:color w:val="000000" w:themeColor="text1"/>
        </w:rPr>
        <w:t xml:space="preserve"> e </w:t>
      </w:r>
      <w:r w:rsidR="00A2735D" w:rsidRPr="00DD4F68">
        <w:rPr>
          <w:color w:val="000000" w:themeColor="text1"/>
        </w:rPr>
        <w:t xml:space="preserve">ficheiros </w:t>
      </w:r>
      <w:r w:rsidR="00A2735D">
        <w:rPr>
          <w:color w:val="000000" w:themeColor="text1"/>
        </w:rPr>
        <w:t xml:space="preserve">de suporte operacional </w:t>
      </w:r>
      <w:r w:rsidR="00A2735D" w:rsidRPr="00DD4F68">
        <w:rPr>
          <w:color w:val="000000" w:themeColor="text1"/>
        </w:rPr>
        <w:t xml:space="preserve">da </w:t>
      </w:r>
      <w:r w:rsidR="00A2735D">
        <w:rPr>
          <w:color w:val="000000" w:themeColor="text1"/>
        </w:rPr>
        <w:t>ORGANIZAÇÃO</w:t>
      </w:r>
      <w:r w:rsidR="00A2735D">
        <w:rPr>
          <w:color w:val="000000" w:themeColor="text1"/>
        </w:rPr>
        <w:t xml:space="preserve">, </w:t>
      </w:r>
      <w:r w:rsidR="00DF58A9" w:rsidRPr="00845D79">
        <w:rPr>
          <w:color w:val="000000" w:themeColor="text1"/>
        </w:rPr>
        <w:t xml:space="preserve">aos quais </w:t>
      </w:r>
      <w:r w:rsidR="00A2735D">
        <w:rPr>
          <w:color w:val="000000" w:themeColor="text1"/>
        </w:rPr>
        <w:t xml:space="preserve">todos </w:t>
      </w:r>
      <w:r w:rsidR="00DF58A9" w:rsidRPr="00845D79">
        <w:rPr>
          <w:color w:val="000000" w:themeColor="text1"/>
        </w:rPr>
        <w:t xml:space="preserve">os utilizadores </w:t>
      </w:r>
      <w:r w:rsidR="00A2735D">
        <w:rPr>
          <w:color w:val="000000" w:themeColor="text1"/>
        </w:rPr>
        <w:t xml:space="preserve">mencionados </w:t>
      </w:r>
      <w:r w:rsidR="00DF58A9" w:rsidRPr="00845D79">
        <w:rPr>
          <w:color w:val="000000" w:themeColor="text1"/>
        </w:rPr>
        <w:t xml:space="preserve">devem </w:t>
      </w:r>
      <w:r w:rsidR="00A2735D">
        <w:rPr>
          <w:color w:val="000000" w:themeColor="text1"/>
        </w:rPr>
        <w:t>ter</w:t>
      </w:r>
      <w:r w:rsidR="00DF58A9" w:rsidRPr="00845D79">
        <w:rPr>
          <w:color w:val="000000" w:themeColor="text1"/>
        </w:rPr>
        <w:t xml:space="preserve"> permissões de leitura e escrita. </w:t>
      </w:r>
      <w:r w:rsidR="00DF58A9">
        <w:rPr>
          <w:color w:val="000000" w:themeColor="text1"/>
        </w:rPr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lastRenderedPageBreak/>
        <w:t xml:space="preserve">Ponto </w:t>
      </w:r>
      <w:r>
        <w:rPr>
          <w:b/>
        </w:rPr>
        <w:t>6</w:t>
      </w:r>
      <w:r w:rsidRPr="004F7E7F">
        <w:t xml:space="preserve"> – </w:t>
      </w:r>
      <w:r>
        <w:t xml:space="preserve">Tendo por base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66F410DA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</w:t>
      </w:r>
      <w:r w:rsidR="009B5F76">
        <w:t>vinte</w:t>
      </w:r>
      <w:r w:rsidR="00A90DDD">
        <w:t xml:space="preserve"> </w:t>
      </w:r>
      <w:r w:rsidR="009B5F76">
        <w:t>de jul</w:t>
      </w:r>
      <w:r w:rsidR="00A90DDD">
        <w:t>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38329F6B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 xml:space="preserve">Barcelos, </w:t>
      </w:r>
      <w:r w:rsidR="00A2735D">
        <w:t>21</w:t>
      </w:r>
      <w:r w:rsidR="00A17D48">
        <w:t xml:space="preserve"> de </w:t>
      </w:r>
      <w:r w:rsidR="00A2735D">
        <w:t>maio</w:t>
      </w:r>
      <w:r w:rsidR="00A17D48">
        <w:t xml:space="preserve"> de 2018</w:t>
      </w:r>
      <w:r w:rsidR="005751D3">
        <w:t>.</w:t>
      </w:r>
      <w:bookmarkStart w:id="0" w:name="_GoBack"/>
      <w:bookmarkEnd w:id="0"/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42B70" w14:textId="77777777" w:rsidR="00532F44" w:rsidRDefault="00532F44" w:rsidP="009C4DCF">
      <w:pPr>
        <w:spacing w:after="0"/>
      </w:pPr>
      <w:r>
        <w:separator/>
      </w:r>
    </w:p>
  </w:endnote>
  <w:endnote w:type="continuationSeparator" w:id="0">
    <w:p w14:paraId="25A293EF" w14:textId="77777777" w:rsidR="00532F44" w:rsidRDefault="00532F44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1D6EC2">
      <w:rPr>
        <w:rFonts w:cs="Tahoma"/>
        <w:noProof/>
        <w:sz w:val="18"/>
      </w:rPr>
      <w:t>1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1D6EC2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DBCFD" w14:textId="77777777" w:rsidR="00532F44" w:rsidRDefault="00532F44" w:rsidP="009C4DCF">
      <w:pPr>
        <w:spacing w:after="0"/>
      </w:pPr>
      <w:r>
        <w:separator/>
      </w:r>
    </w:p>
  </w:footnote>
  <w:footnote w:type="continuationSeparator" w:id="0">
    <w:p w14:paraId="396CB12A" w14:textId="77777777" w:rsidR="00532F44" w:rsidRDefault="00532F44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7A"/>
    <w:multiLevelType w:val="multilevel"/>
    <w:tmpl w:val="E69A35D2"/>
    <w:numStyleLink w:val="CONT-Clusulas"/>
  </w:abstractNum>
  <w:abstractNum w:abstractNumId="1" w15:restartNumberingAfterBreak="0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945E25"/>
    <w:multiLevelType w:val="multilevel"/>
    <w:tmpl w:val="E69A35D2"/>
    <w:numStyleLink w:val="CONT-Clusulas"/>
  </w:abstractNum>
  <w:abstractNum w:abstractNumId="4" w15:restartNumberingAfterBreak="0">
    <w:nsid w:val="232627A3"/>
    <w:multiLevelType w:val="multilevel"/>
    <w:tmpl w:val="E69A35D2"/>
    <w:numStyleLink w:val="CONT-Clusulas"/>
  </w:abstractNum>
  <w:abstractNum w:abstractNumId="5" w15:restartNumberingAfterBreak="0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63E8A"/>
    <w:multiLevelType w:val="multilevel"/>
    <w:tmpl w:val="E69A35D2"/>
    <w:numStyleLink w:val="CONT-Clusulas"/>
  </w:abstractNum>
  <w:abstractNum w:abstractNumId="7" w15:restartNumberingAfterBreak="0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7019"/>
    <w:multiLevelType w:val="multilevel"/>
    <w:tmpl w:val="E69A35D2"/>
    <w:numStyleLink w:val="CONT-Clusulas"/>
  </w:abstractNum>
  <w:abstractNum w:abstractNumId="9" w15:restartNumberingAfterBreak="0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27285B"/>
    <w:multiLevelType w:val="multilevel"/>
    <w:tmpl w:val="E69A35D2"/>
    <w:numStyleLink w:val="CONT-Clusulas"/>
  </w:abstractNum>
  <w:abstractNum w:abstractNumId="12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1349F9"/>
    <w:multiLevelType w:val="multilevel"/>
    <w:tmpl w:val="E69A35D2"/>
    <w:numStyleLink w:val="CONT-Clusulas"/>
  </w:abstractNum>
  <w:abstractNum w:abstractNumId="14" w15:restartNumberingAfterBreak="0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73BC4"/>
    <w:multiLevelType w:val="multilevel"/>
    <w:tmpl w:val="E69A35D2"/>
    <w:numStyleLink w:val="CONT-Clusulas"/>
  </w:abstractNum>
  <w:abstractNum w:abstractNumId="17" w15:restartNumberingAfterBreak="0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1FE5"/>
    <w:multiLevelType w:val="multilevel"/>
    <w:tmpl w:val="E69A35D2"/>
    <w:numStyleLink w:val="CONT-Clusulas"/>
  </w:abstractNum>
  <w:abstractNum w:abstractNumId="19" w15:restartNumberingAfterBreak="0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 w15:restartNumberingAfterBreak="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22D33"/>
    <w:multiLevelType w:val="multilevel"/>
    <w:tmpl w:val="E69A35D2"/>
    <w:numStyleLink w:val="CONT-Clusulas"/>
  </w:abstractNum>
  <w:abstractNum w:abstractNumId="25" w15:restartNumberingAfterBreak="0">
    <w:nsid w:val="7EFB31F4"/>
    <w:multiLevelType w:val="multilevel"/>
    <w:tmpl w:val="E69A35D2"/>
    <w:numStyleLink w:val="CONT-Clusulas"/>
  </w:abstractNum>
  <w:abstractNum w:abstractNumId="26" w15:restartNumberingAfterBreak="0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A3"/>
    <w:rsid w:val="00004807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12B"/>
    <w:rsid w:val="000B5275"/>
    <w:rsid w:val="000B70E6"/>
    <w:rsid w:val="000C1A47"/>
    <w:rsid w:val="000C248F"/>
    <w:rsid w:val="000D689C"/>
    <w:rsid w:val="000E4CCF"/>
    <w:rsid w:val="000E5B14"/>
    <w:rsid w:val="000F3DE2"/>
    <w:rsid w:val="000F7659"/>
    <w:rsid w:val="001071D8"/>
    <w:rsid w:val="001072F9"/>
    <w:rsid w:val="00113E5C"/>
    <w:rsid w:val="001217FB"/>
    <w:rsid w:val="0013488A"/>
    <w:rsid w:val="00183467"/>
    <w:rsid w:val="0018683B"/>
    <w:rsid w:val="0018791F"/>
    <w:rsid w:val="00187C2A"/>
    <w:rsid w:val="001A2FAA"/>
    <w:rsid w:val="001A6550"/>
    <w:rsid w:val="001D6EC2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77D8F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B6147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2F44"/>
    <w:rsid w:val="0053348E"/>
    <w:rsid w:val="00554549"/>
    <w:rsid w:val="005751D3"/>
    <w:rsid w:val="005918FA"/>
    <w:rsid w:val="0059235E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6C6DE2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2F78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2D30"/>
    <w:rsid w:val="008B7D8F"/>
    <w:rsid w:val="008C0338"/>
    <w:rsid w:val="008D5B3C"/>
    <w:rsid w:val="008E5C32"/>
    <w:rsid w:val="008E5E56"/>
    <w:rsid w:val="008F326E"/>
    <w:rsid w:val="00915D6F"/>
    <w:rsid w:val="00916906"/>
    <w:rsid w:val="00942DFE"/>
    <w:rsid w:val="009464AE"/>
    <w:rsid w:val="00950D84"/>
    <w:rsid w:val="009A5A18"/>
    <w:rsid w:val="009B5F76"/>
    <w:rsid w:val="009C0E5E"/>
    <w:rsid w:val="009C4DCF"/>
    <w:rsid w:val="009D4D25"/>
    <w:rsid w:val="009F4621"/>
    <w:rsid w:val="00A12CD4"/>
    <w:rsid w:val="00A14ACB"/>
    <w:rsid w:val="00A17D48"/>
    <w:rsid w:val="00A2735D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15FEB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498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D4F68"/>
    <w:rsid w:val="00DE5D06"/>
    <w:rsid w:val="00DF58A9"/>
    <w:rsid w:val="00E257F6"/>
    <w:rsid w:val="00E60576"/>
    <w:rsid w:val="00E72516"/>
    <w:rsid w:val="00E733A3"/>
    <w:rsid w:val="00E759A5"/>
    <w:rsid w:val="00E921A3"/>
    <w:rsid w:val="00E93830"/>
    <w:rsid w:val="00E94C5E"/>
    <w:rsid w:val="00EB54A1"/>
    <w:rsid w:val="00EC0B13"/>
    <w:rsid w:val="00EC1ECB"/>
    <w:rsid w:val="00EC34A9"/>
    <w:rsid w:val="00EC4ABF"/>
    <w:rsid w:val="00EE14EA"/>
    <w:rsid w:val="00EE29A3"/>
    <w:rsid w:val="00EE6961"/>
    <w:rsid w:val="00EF312F"/>
    <w:rsid w:val="00F05E78"/>
    <w:rsid w:val="00F2275B"/>
    <w:rsid w:val="00F44EA5"/>
    <w:rsid w:val="00F723B5"/>
    <w:rsid w:val="00F754B5"/>
    <w:rsid w:val="00FA5BDE"/>
    <w:rsid w:val="00FB665B"/>
    <w:rsid w:val="00FC6E11"/>
    <w:rsid w:val="00FC725E"/>
    <w:rsid w:val="00FD09B4"/>
    <w:rsid w:val="00FE427C"/>
    <w:rsid w:val="00FF2AD0"/>
    <w:rsid w:val="00FF3B06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de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6E9362-A73E-E246-86E2-4EB62147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1784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Utilizador do Microsoft Office</cp:lastModifiedBy>
  <cp:revision>19</cp:revision>
  <cp:lastPrinted>2018-04-11T12:24:00Z</cp:lastPrinted>
  <dcterms:created xsi:type="dcterms:W3CDTF">2018-04-04T06:55:00Z</dcterms:created>
  <dcterms:modified xsi:type="dcterms:W3CDTF">2018-05-20T17:37:00Z</dcterms:modified>
</cp:coreProperties>
</file>