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663ABA" w:rsidRPr="00D3089C" w:rsidRDefault="00663ABA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663ABA" w:rsidRDefault="00663ABA" w:rsidP="00EF717C">
      <w:pPr>
        <w:spacing w:line="276" w:lineRule="auto"/>
        <w:jc w:val="right"/>
        <w:rPr>
          <w:sz w:val="20"/>
          <w:szCs w:val="20"/>
          <w:rtl/>
        </w:rPr>
      </w:pPr>
    </w:p>
    <w:p w:rsidR="006E5C81" w:rsidRDefault="006E5C81" w:rsidP="00EF717C">
      <w:pPr>
        <w:spacing w:line="276" w:lineRule="auto"/>
        <w:jc w:val="right"/>
        <w:rPr>
          <w:sz w:val="20"/>
          <w:szCs w:val="20"/>
          <w:rtl/>
        </w:rPr>
      </w:pPr>
    </w:p>
    <w:p w:rsidR="006E5C81" w:rsidRPr="00D3089C" w:rsidRDefault="006E5C81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7328B" w:rsidP="006E5C8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עירובין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E5C81">
        <w:rPr>
          <w:rFonts w:asciiTheme="majorBidi" w:hAnsiTheme="majorBidi" w:cstheme="majorBidi" w:hint="cs"/>
          <w:sz w:val="32"/>
          <w:szCs w:val="32"/>
          <w:rtl/>
        </w:rPr>
        <w:t>ע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E5C81">
        <w:rPr>
          <w:rFonts w:asciiTheme="majorBidi" w:hAnsiTheme="majorBidi" w:cstheme="majorBidi" w:hint="cs"/>
          <w:sz w:val="32"/>
          <w:szCs w:val="32"/>
          <w:rtl/>
        </w:rPr>
        <w:t>פא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421A58" w:rsidP="00421A5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א) בני מבוי שהשתתפו ביין לשיתופי מבואות, האם יכולים לסמוך על זה לעירובי חצרות.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86DD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386DDD" w:rsidRPr="00386DDD">
        <w:rPr>
          <w:rFonts w:asciiTheme="majorBidi" w:hAnsiTheme="majorBidi" w:cstheme="majorBidi" w:hint="cs"/>
          <w:sz w:val="32"/>
          <w:szCs w:val="32"/>
          <w:rtl/>
        </w:rPr>
        <w:t>באיזה אופן אפשר לכל הדעות לסמוך על שיתוף במקום עירוב.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5200C2" w:rsidRDefault="009A7C14" w:rsidP="005200C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200C2" w:rsidRPr="005200C2">
        <w:rPr>
          <w:rFonts w:asciiTheme="majorBidi" w:hAnsiTheme="majorBidi" w:cstheme="majorBidi" w:hint="cs"/>
          <w:sz w:val="32"/>
          <w:szCs w:val="32"/>
          <w:rtl/>
        </w:rPr>
        <w:t>שתי חצרות זו לפנים מזו,</w:t>
      </w:r>
      <w:r w:rsidR="005200C2">
        <w:rPr>
          <w:rFonts w:asciiTheme="majorBidi" w:hAnsiTheme="majorBidi" w:cstheme="majorBidi" w:hint="cs"/>
          <w:sz w:val="32"/>
          <w:szCs w:val="32"/>
          <w:rtl/>
        </w:rPr>
        <w:t xml:space="preserve"> והחיצונה עירבה לעצמה, האם הפנימית אוסרת על החיצונה.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84081" w:rsidRPr="00D3089C" w:rsidRDefault="00C84081" w:rsidP="00C840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שתי חצרות שלא עירבו </w:t>
      </w:r>
      <w:r>
        <w:rPr>
          <w:rFonts w:asciiTheme="majorBidi" w:hAnsiTheme="majorBidi" w:cstheme="majorBidi" w:hint="cs"/>
          <w:sz w:val="32"/>
          <w:szCs w:val="32"/>
          <w:rtl/>
        </w:rPr>
        <w:t>יחד</w:t>
      </w:r>
      <w:r>
        <w:rPr>
          <w:rFonts w:asciiTheme="majorBidi" w:hAnsiTheme="majorBidi" w:cstheme="majorBidi" w:hint="cs"/>
          <w:sz w:val="32"/>
          <w:szCs w:val="32"/>
          <w:rtl/>
        </w:rPr>
        <w:t>, האם מועיל לכפות ספל ליד הכותל שביניהם</w:t>
      </w:r>
      <w:r>
        <w:rPr>
          <w:rFonts w:asciiTheme="majorBidi" w:hAnsiTheme="majorBidi" w:cstheme="majorBidi" w:hint="cs"/>
          <w:sz w:val="32"/>
          <w:szCs w:val="32"/>
          <w:rtl/>
        </w:rPr>
        <w:t>,</w:t>
      </w:r>
      <w:r w:rsidRPr="00C8408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כדי </w:t>
      </w:r>
      <w:r w:rsidR="00A22169">
        <w:rPr>
          <w:rFonts w:asciiTheme="majorBidi" w:hAnsiTheme="majorBidi" w:cstheme="majorBidi" w:hint="cs"/>
          <w:sz w:val="32"/>
          <w:szCs w:val="32"/>
          <w:rtl/>
        </w:rPr>
        <w:t xml:space="preserve">שיוכל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להשתמש בראש הכותל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בשבת. </w:t>
      </w:r>
    </w:p>
    <w:p w:rsidR="00C84081" w:rsidRPr="00D3089C" w:rsidRDefault="00C84081" w:rsidP="00C840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84081" w:rsidRPr="00D3089C" w:rsidRDefault="00C84081" w:rsidP="00C840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תבן שבין שתי חצרות, האם יכול ליקח ממנו בשבת וליתן לפני בהמתו.</w:t>
      </w:r>
    </w:p>
    <w:p w:rsidR="00C84081" w:rsidRPr="00D3089C" w:rsidRDefault="00C84081" w:rsidP="00C840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84081" w:rsidRPr="00D3089C" w:rsidRDefault="00C84081" w:rsidP="00C840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האם מועיל לערב עירובי חצרות בפת אורז, פת דוחן או פת עדשים.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84081" w:rsidRPr="00D3089C" w:rsidRDefault="00C84081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663ABA" w:rsidRPr="00663ABA" w:rsidRDefault="00663ABA" w:rsidP="00663AB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663ABA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עירובין פא: - צה: יתקיים בס"ד ביום חמישי כ"ה חשוון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421A58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421A58">
        <w:rPr>
          <w:rFonts w:hint="cs"/>
          <w:rtl/>
        </w:rPr>
        <w:t>לחד מ"ד אין סומכין ע"ז לכו"ע, ולחד מ"ד לר"מ אין סומכין ולרבנן סומכין, [דמיגו דמהני לשיתוף מהני נמי לעירובי חצרות].</w:t>
      </w:r>
    </w:p>
    <w:p w:rsidR="00421A58" w:rsidRDefault="00421A58" w:rsidP="00386DDD">
      <w:pPr>
        <w:rPr>
          <w:rtl/>
        </w:rPr>
      </w:pPr>
      <w:r>
        <w:rPr>
          <w:rFonts w:hint="cs"/>
          <w:rtl/>
        </w:rPr>
        <w:t xml:space="preserve">ב. </w:t>
      </w:r>
      <w:r w:rsidR="00386DDD">
        <w:rPr>
          <w:rFonts w:hint="cs"/>
          <w:rtl/>
        </w:rPr>
        <w:t xml:space="preserve">אם רק אחד מבני החצר </w:t>
      </w:r>
      <w:r w:rsidR="00386DDD" w:rsidRPr="00386DDD">
        <w:rPr>
          <w:rFonts w:hint="cs"/>
          <w:rtl/>
        </w:rPr>
        <w:t>שכח לערב, מותר לכו"ע לסמוך על השיתוף, דבכה"ג לא תשתכח תורת עירוב.</w:t>
      </w:r>
    </w:p>
    <w:p w:rsidR="00386DDD" w:rsidRDefault="00386DDD" w:rsidP="00386DDD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="005200C2">
        <w:rPr>
          <w:rFonts w:hint="cs"/>
          <w:rtl/>
        </w:rPr>
        <w:t>אם הפנימית עירבה</w:t>
      </w:r>
      <w:r w:rsidR="00876DB4">
        <w:rPr>
          <w:rFonts w:hint="cs"/>
          <w:rtl/>
        </w:rPr>
        <w:t xml:space="preserve"> לעצמה, הוי רגל המותרת במקומה, לר"ע אוסרת ולרבנן אינה אוסרת. ואם לא עירבה לעצמה, הוי רגל האסורה ולכו"ע אוסרת, מלבד לרבנן בתראי.</w:t>
      </w:r>
    </w:p>
    <w:p w:rsidR="00A22169" w:rsidRPr="0092095A" w:rsidRDefault="00386DDD" w:rsidP="00F35D51">
      <w:pPr>
        <w:rPr>
          <w:rtl/>
        </w:rPr>
      </w:pPr>
      <w:r>
        <w:rPr>
          <w:rFonts w:hint="cs"/>
          <w:rtl/>
        </w:rPr>
        <w:t xml:space="preserve">ד. </w:t>
      </w:r>
      <w:r w:rsidR="00A22169" w:rsidRPr="0092095A">
        <w:rPr>
          <w:rFonts w:hint="cs"/>
          <w:rtl/>
        </w:rPr>
        <w:t>אם ה</w:t>
      </w:r>
      <w:r w:rsidR="0092095A">
        <w:rPr>
          <w:rFonts w:hint="cs"/>
          <w:rtl/>
        </w:rPr>
        <w:t>ספל</w:t>
      </w:r>
      <w:r w:rsidR="00A22169" w:rsidRPr="0092095A">
        <w:rPr>
          <w:rFonts w:hint="cs"/>
          <w:rtl/>
        </w:rPr>
        <w:t xml:space="preserve"> תחוב באדמה </w:t>
      </w:r>
      <w:r w:rsidR="0092095A">
        <w:rPr>
          <w:rFonts w:hint="cs"/>
          <w:rtl/>
        </w:rPr>
        <w:t>באופן ש</w:t>
      </w:r>
      <w:r w:rsidR="0092095A" w:rsidRPr="0092095A">
        <w:rPr>
          <w:rFonts w:hint="cs"/>
          <w:rtl/>
        </w:rPr>
        <w:t xml:space="preserve">אסור </w:t>
      </w:r>
      <w:r w:rsidR="00F35D51" w:rsidRPr="0092095A">
        <w:rPr>
          <w:rFonts w:hint="cs"/>
          <w:rtl/>
        </w:rPr>
        <w:t xml:space="preserve">להוציאו </w:t>
      </w:r>
      <w:r w:rsidR="0092095A" w:rsidRPr="0092095A">
        <w:rPr>
          <w:rFonts w:hint="cs"/>
          <w:rtl/>
        </w:rPr>
        <w:t>בשבת</w:t>
      </w:r>
      <w:r w:rsidR="0092095A" w:rsidRPr="0092095A">
        <w:rPr>
          <w:rFonts w:hint="cs"/>
          <w:rtl/>
        </w:rPr>
        <w:t xml:space="preserve"> </w:t>
      </w:r>
      <w:r w:rsidR="0092095A">
        <w:rPr>
          <w:rFonts w:hint="cs"/>
          <w:rtl/>
        </w:rPr>
        <w:t>כיון שזקוקים ל</w:t>
      </w:r>
      <w:r w:rsidR="00A22169" w:rsidRPr="0092095A">
        <w:rPr>
          <w:rFonts w:hint="cs"/>
          <w:rtl/>
        </w:rPr>
        <w:t>מרא וחצינא, הרי זה ממעט את הכותל מגובה י', ויכול להשתמש ב</w:t>
      </w:r>
      <w:r w:rsidR="0092095A">
        <w:rPr>
          <w:rFonts w:hint="cs"/>
          <w:rtl/>
        </w:rPr>
        <w:t>ראש</w:t>
      </w:r>
      <w:r w:rsidR="00A22169" w:rsidRPr="0092095A">
        <w:rPr>
          <w:rFonts w:hint="cs"/>
          <w:rtl/>
        </w:rPr>
        <w:t xml:space="preserve">ו [כשעומד על הספל]. </w:t>
      </w:r>
    </w:p>
    <w:p w:rsidR="00A22169" w:rsidRPr="0092095A" w:rsidRDefault="00A22169" w:rsidP="004C70E3">
      <w:pPr>
        <w:rPr>
          <w:rtl/>
        </w:rPr>
      </w:pPr>
      <w:r w:rsidRPr="0092095A">
        <w:rPr>
          <w:rFonts w:hint="cs"/>
          <w:rtl/>
        </w:rPr>
        <w:t>ה</w:t>
      </w:r>
      <w:r w:rsidRPr="0092095A">
        <w:rPr>
          <w:rFonts w:hint="cs"/>
          <w:rtl/>
        </w:rPr>
        <w:t>. אם ה</w:t>
      </w:r>
      <w:r w:rsidR="00976E56">
        <w:rPr>
          <w:rFonts w:hint="cs"/>
          <w:rtl/>
        </w:rPr>
        <w:t>תבן</w:t>
      </w:r>
      <w:r w:rsidRPr="0092095A">
        <w:rPr>
          <w:rFonts w:hint="cs"/>
          <w:rtl/>
        </w:rPr>
        <w:t xml:space="preserve"> גבוה יותר מעשרה והוא בתוך בית מקורה, ש</w:t>
      </w:r>
      <w:r w:rsidR="00F35D51">
        <w:rPr>
          <w:rFonts w:hint="cs"/>
          <w:rtl/>
        </w:rPr>
        <w:t xml:space="preserve">אז </w:t>
      </w:r>
      <w:r w:rsidRPr="0092095A">
        <w:rPr>
          <w:rFonts w:hint="cs"/>
          <w:rtl/>
        </w:rPr>
        <w:t xml:space="preserve">ניכר כשיגיע לעשרה, מותר. ואם לא אסור שמא יגיע לתוך עשרה </w:t>
      </w:r>
      <w:r w:rsidR="00074332">
        <w:rPr>
          <w:rFonts w:hint="cs"/>
          <w:rtl/>
        </w:rPr>
        <w:t xml:space="preserve">שאז ודאי </w:t>
      </w:r>
      <w:r w:rsidRPr="0092095A">
        <w:rPr>
          <w:rFonts w:hint="cs"/>
          <w:rtl/>
        </w:rPr>
        <w:t>אסור</w:t>
      </w:r>
      <w:r w:rsidR="00074332">
        <w:rPr>
          <w:rFonts w:hint="cs"/>
          <w:rtl/>
        </w:rPr>
        <w:t xml:space="preserve"> ליטול ממנו</w:t>
      </w:r>
      <w:r w:rsidRPr="0092095A">
        <w:rPr>
          <w:rFonts w:hint="cs"/>
          <w:rtl/>
        </w:rPr>
        <w:t>, [</w:t>
      </w:r>
      <w:r w:rsidR="00F35D51">
        <w:rPr>
          <w:rFonts w:hint="cs"/>
          <w:rtl/>
        </w:rPr>
        <w:t xml:space="preserve">והטעם ביאר רש"י </w:t>
      </w:r>
      <w:r w:rsidRPr="0092095A">
        <w:rPr>
          <w:rFonts w:hint="cs"/>
          <w:rtl/>
        </w:rPr>
        <w:t>או מ</w:t>
      </w:r>
      <w:r w:rsidR="00F35D51">
        <w:rPr>
          <w:rFonts w:hint="cs"/>
          <w:rtl/>
        </w:rPr>
        <w:t>שו</w:t>
      </w:r>
      <w:r w:rsidRPr="0092095A">
        <w:rPr>
          <w:rFonts w:hint="cs"/>
          <w:rtl/>
        </w:rPr>
        <w:t xml:space="preserve">ם </w:t>
      </w:r>
      <w:r w:rsidR="004C70E3">
        <w:rPr>
          <w:rFonts w:hint="cs"/>
          <w:rtl/>
        </w:rPr>
        <w:t>שהתבן ה</w:t>
      </w:r>
      <w:r w:rsidRPr="0092095A">
        <w:rPr>
          <w:rFonts w:hint="cs"/>
          <w:rtl/>
        </w:rPr>
        <w:t>וקצה למחיצה בשבת</w:t>
      </w:r>
      <w:r w:rsidR="00074332">
        <w:rPr>
          <w:rFonts w:hint="cs"/>
          <w:rtl/>
        </w:rPr>
        <w:t>,</w:t>
      </w:r>
      <w:r w:rsidRPr="0092095A">
        <w:rPr>
          <w:rFonts w:hint="cs"/>
          <w:rtl/>
        </w:rPr>
        <w:t xml:space="preserve"> או </w:t>
      </w:r>
      <w:r w:rsidR="004C70E3">
        <w:rPr>
          <w:rFonts w:hint="cs"/>
          <w:rtl/>
        </w:rPr>
        <w:t>מפני ה</w:t>
      </w:r>
      <w:r w:rsidRPr="0092095A">
        <w:rPr>
          <w:rFonts w:hint="cs"/>
          <w:rtl/>
        </w:rPr>
        <w:t>חשש שלא ישים לב שהמחיצה התבטלה</w:t>
      </w:r>
      <w:r w:rsidR="00074332">
        <w:rPr>
          <w:rFonts w:hint="cs"/>
          <w:rtl/>
        </w:rPr>
        <w:t xml:space="preserve"> וימשיך לטלטל</w:t>
      </w:r>
      <w:r w:rsidRPr="0092095A">
        <w:rPr>
          <w:rFonts w:hint="cs"/>
          <w:rtl/>
        </w:rPr>
        <w:t>].</w:t>
      </w:r>
    </w:p>
    <w:p w:rsidR="00386DDD" w:rsidRPr="0092095A" w:rsidRDefault="00A22169" w:rsidP="00A22169">
      <w:r w:rsidRPr="0092095A">
        <w:rPr>
          <w:rFonts w:hint="cs"/>
          <w:rtl/>
        </w:rPr>
        <w:t>ו</w:t>
      </w:r>
      <w:r w:rsidRPr="0092095A">
        <w:rPr>
          <w:rFonts w:hint="cs"/>
          <w:rtl/>
        </w:rPr>
        <w:t xml:space="preserve">. </w:t>
      </w:r>
      <w:r w:rsidR="00CB4347">
        <w:rPr>
          <w:rFonts w:hint="cs"/>
          <w:rtl/>
        </w:rPr>
        <w:t xml:space="preserve">פת </w:t>
      </w:r>
      <w:r w:rsidRPr="0092095A">
        <w:rPr>
          <w:rFonts w:hint="cs"/>
          <w:rtl/>
        </w:rPr>
        <w:t>אורז ו</w:t>
      </w:r>
      <w:r w:rsidR="00CB4347">
        <w:rPr>
          <w:rFonts w:hint="cs"/>
          <w:rtl/>
        </w:rPr>
        <w:t xml:space="preserve">פת </w:t>
      </w:r>
      <w:r w:rsidRPr="0092095A">
        <w:rPr>
          <w:rFonts w:hint="cs"/>
          <w:rtl/>
        </w:rPr>
        <w:t xml:space="preserve">עדשים מועיל, </w:t>
      </w:r>
      <w:r w:rsidR="00CB4347">
        <w:rPr>
          <w:rFonts w:hint="cs"/>
          <w:rtl/>
        </w:rPr>
        <w:t xml:space="preserve">פת </w:t>
      </w:r>
      <w:r w:rsidRPr="0092095A">
        <w:rPr>
          <w:rFonts w:hint="cs"/>
          <w:rtl/>
        </w:rPr>
        <w:t>דוחן לא מועיל.</w:t>
      </w:r>
    </w:p>
    <w:sectPr w:rsidR="00386DDD" w:rsidRPr="0092095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7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5075A"/>
    <w:rsid w:val="0007328B"/>
    <w:rsid w:val="00074332"/>
    <w:rsid w:val="00142B29"/>
    <w:rsid w:val="001F2258"/>
    <w:rsid w:val="002712D4"/>
    <w:rsid w:val="00386DDD"/>
    <w:rsid w:val="004049B1"/>
    <w:rsid w:val="00421A58"/>
    <w:rsid w:val="00474EB0"/>
    <w:rsid w:val="004C6243"/>
    <w:rsid w:val="004C70E3"/>
    <w:rsid w:val="005200C2"/>
    <w:rsid w:val="00524FB8"/>
    <w:rsid w:val="006148FE"/>
    <w:rsid w:val="00663ABA"/>
    <w:rsid w:val="006E5C81"/>
    <w:rsid w:val="007B0EF0"/>
    <w:rsid w:val="00876DB4"/>
    <w:rsid w:val="008A335F"/>
    <w:rsid w:val="0092095A"/>
    <w:rsid w:val="00976E56"/>
    <w:rsid w:val="0098434A"/>
    <w:rsid w:val="00987EA6"/>
    <w:rsid w:val="009A7C14"/>
    <w:rsid w:val="00A22169"/>
    <w:rsid w:val="00C84081"/>
    <w:rsid w:val="00CB4347"/>
    <w:rsid w:val="00D636A5"/>
    <w:rsid w:val="00E10EB2"/>
    <w:rsid w:val="00EF717C"/>
    <w:rsid w:val="00F35D51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1EA6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330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23</cp:revision>
  <dcterms:created xsi:type="dcterms:W3CDTF">2020-10-28T08:08:00Z</dcterms:created>
  <dcterms:modified xsi:type="dcterms:W3CDTF">2020-10-28T09:27:00Z</dcterms:modified>
</cp:coreProperties>
</file>