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7C1" w:rsidRDefault="00D147C1" w:rsidP="00D147C1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147C1" w:rsidRPr="00D3089C" w:rsidRDefault="00D147C1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34324F" w:rsidP="004655E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655EE">
        <w:rPr>
          <w:rFonts w:asciiTheme="majorBidi" w:hAnsiTheme="majorBidi" w:cstheme="majorBidi" w:hint="cs"/>
          <w:sz w:val="32"/>
          <w:szCs w:val="32"/>
          <w:rtl/>
        </w:rPr>
        <w:t>עה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655EE">
        <w:rPr>
          <w:rFonts w:asciiTheme="majorBidi" w:hAnsiTheme="majorBidi" w:cstheme="majorBidi" w:hint="cs"/>
          <w:sz w:val="32"/>
          <w:szCs w:val="32"/>
          <w:rtl/>
        </w:rPr>
        <w:t>פט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D147C1" w:rsidRPr="00D147C1" w:rsidRDefault="00CD56BA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>) המניח פת חמה או צוננת על גבי חבית יין של תרומה, האם היא נאסרת לזרים.</w:t>
      </w:r>
    </w:p>
    <w:p w:rsidR="00D147C1" w:rsidRPr="00D147C1" w:rsidRDefault="00D147C1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147C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147C1" w:rsidRPr="00D147C1" w:rsidRDefault="00EF3F11" w:rsidP="00A25D9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 xml:space="preserve">) האם </w:t>
      </w:r>
      <w:r w:rsidR="00A25D99">
        <w:rPr>
          <w:rFonts w:asciiTheme="majorBidi" w:hAnsiTheme="majorBidi" w:cstheme="majorBidi" w:hint="cs"/>
          <w:sz w:val="32"/>
          <w:szCs w:val="32"/>
          <w:rtl/>
        </w:rPr>
        <w:t xml:space="preserve">האכילה 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 xml:space="preserve">בקרבן פסח </w:t>
      </w:r>
      <w:r w:rsidR="00A25D99" w:rsidRPr="00D147C1">
        <w:rPr>
          <w:rFonts w:asciiTheme="majorBidi" w:hAnsiTheme="majorBidi" w:cstheme="majorBidi" w:hint="cs"/>
          <w:sz w:val="32"/>
          <w:szCs w:val="32"/>
          <w:rtl/>
        </w:rPr>
        <w:t>מעכב</w:t>
      </w:r>
      <w:r w:rsidR="00A25D99">
        <w:rPr>
          <w:rFonts w:asciiTheme="majorBidi" w:hAnsiTheme="majorBidi" w:cstheme="majorBidi" w:hint="cs"/>
          <w:sz w:val="32"/>
          <w:szCs w:val="32"/>
          <w:rtl/>
        </w:rPr>
        <w:t>ת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147C1" w:rsidRPr="00D147C1" w:rsidRDefault="00D147C1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147C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147C1" w:rsidRPr="00D147C1" w:rsidRDefault="00EF3F11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>) פסח שנטמא ונזרק דמו, האם הציץ מרצה עליו גם אם נטמא או נזרק דמו במזיד.</w:t>
      </w:r>
    </w:p>
    <w:p w:rsidR="00D147C1" w:rsidRPr="00D147C1" w:rsidRDefault="00D147C1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147C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147C1" w:rsidRPr="00D147C1" w:rsidRDefault="00EF3F11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>) נטמא מיעוט בשר הפסח, האם מותר לשורפו מעצי המערכה.</w:t>
      </w:r>
    </w:p>
    <w:p w:rsidR="00D147C1" w:rsidRPr="00D147C1" w:rsidRDefault="00D147C1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147C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147C1" w:rsidRPr="00D147C1" w:rsidRDefault="00B51432" w:rsidP="00D147C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D147C1" w:rsidRPr="00D147C1">
        <w:rPr>
          <w:rFonts w:asciiTheme="majorBidi" w:hAnsiTheme="majorBidi" w:cstheme="majorBidi" w:hint="cs"/>
          <w:sz w:val="32"/>
          <w:szCs w:val="32"/>
          <w:rtl/>
        </w:rPr>
        <w:t>) גידי בשר, גידי צואר וגיד הנשה, האם הם נאכלים בקרבן פסח או נשרפים.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150FA" w:rsidRPr="00D3089C" w:rsidRDefault="005150FA" w:rsidP="007A646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A6465">
        <w:rPr>
          <w:rFonts w:asciiTheme="majorBidi" w:hAnsiTheme="majorBidi" w:cstheme="majorBidi" w:hint="cs"/>
          <w:sz w:val="32"/>
          <w:szCs w:val="32"/>
          <w:rtl/>
        </w:rPr>
        <w:t>מקום האגף עצמו בשערי ירושלים והעזרה, האם דינו כלפנים או כבחוץ.</w:t>
      </w:r>
    </w:p>
    <w:p w:rsidR="005150FA" w:rsidRPr="00D3089C" w:rsidRDefault="005150FA" w:rsidP="005150F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25002">
        <w:rPr>
          <w:rFonts w:asciiTheme="majorBidi" w:hAnsiTheme="majorBidi" w:cstheme="majorBidi" w:hint="cs"/>
          <w:sz w:val="32"/>
          <w:szCs w:val="32"/>
          <w:rtl/>
        </w:rPr>
        <w:t>האומר לעבדו שישחוט עבורו קרבן פסח ושחט לו גדי וטלה, האם רשאי לאכול מאחד מהן, ומאיזה יאכל.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312DE" w:rsidRPr="002312DE" w:rsidRDefault="002312DE" w:rsidP="002312DE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2312DE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פסחים פט: - קג: יתקיים בס"ד ביום חמישי כ' אדר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D147C1" w:rsidRPr="00D147C1" w:rsidRDefault="00CD56BA" w:rsidP="00CD56B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 xml:space="preserve">א. </w:t>
      </w:r>
      <w:r w:rsidR="00D147C1" w:rsidRPr="00D147C1">
        <w:rPr>
          <w:rFonts w:hint="cs"/>
          <w:sz w:val="24"/>
          <w:szCs w:val="24"/>
          <w:rtl/>
        </w:rPr>
        <w:t>פת חמה וחבית פתוחה לכו"ע אסורה [וללוי דריחא לאו מילתא נראה דגם זה מו</w:t>
      </w:r>
      <w:r>
        <w:rPr>
          <w:rFonts w:hint="cs"/>
          <w:sz w:val="24"/>
          <w:szCs w:val="24"/>
          <w:rtl/>
        </w:rPr>
        <w:t>תר לרבי יהודה דס"ל הכי]. פת צוננת</w:t>
      </w:r>
      <w:r w:rsidR="00D147C1" w:rsidRPr="00D147C1">
        <w:rPr>
          <w:rFonts w:hint="cs"/>
          <w:sz w:val="24"/>
          <w:szCs w:val="24"/>
          <w:rtl/>
        </w:rPr>
        <w:t xml:space="preserve"> וחבית סתומה לכו"ע מותרת. פת חמה וחבית סתומה או פת צונ</w:t>
      </w:r>
      <w:r>
        <w:rPr>
          <w:rFonts w:hint="cs"/>
          <w:sz w:val="24"/>
          <w:szCs w:val="24"/>
          <w:rtl/>
        </w:rPr>
        <w:t>נת</w:t>
      </w:r>
      <w:r w:rsidR="00D147C1" w:rsidRPr="00D147C1">
        <w:rPr>
          <w:rFonts w:hint="cs"/>
          <w:sz w:val="24"/>
          <w:szCs w:val="24"/>
          <w:rtl/>
        </w:rPr>
        <w:t xml:space="preserve"> וחבית פתוחה, לרבי מאיר אסור</w:t>
      </w:r>
      <w:r>
        <w:rPr>
          <w:rFonts w:hint="cs"/>
          <w:sz w:val="24"/>
          <w:szCs w:val="24"/>
          <w:rtl/>
        </w:rPr>
        <w:t>,</w:t>
      </w:r>
      <w:r w:rsidR="00D147C1" w:rsidRPr="00D147C1">
        <w:rPr>
          <w:rFonts w:hint="cs"/>
          <w:sz w:val="24"/>
          <w:szCs w:val="24"/>
          <w:rtl/>
        </w:rPr>
        <w:t xml:space="preserve"> לרבי יהודה מותר</w:t>
      </w:r>
      <w:r>
        <w:rPr>
          <w:rFonts w:hint="cs"/>
          <w:sz w:val="24"/>
          <w:szCs w:val="24"/>
          <w:rtl/>
        </w:rPr>
        <w:t>,</w:t>
      </w:r>
      <w:r w:rsidR="00D147C1" w:rsidRPr="00D147C1">
        <w:rPr>
          <w:rFonts w:hint="cs"/>
          <w:sz w:val="24"/>
          <w:szCs w:val="24"/>
          <w:rtl/>
        </w:rPr>
        <w:t xml:space="preserve"> לרבי יוסי אסור בשל שעורים מפני שפת של שעורים שואבת.</w:t>
      </w:r>
    </w:p>
    <w:p w:rsidR="00D147C1" w:rsidRPr="00D147C1" w:rsidRDefault="00EF3F11" w:rsidP="00A25D9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="00D147C1" w:rsidRPr="00D147C1">
        <w:rPr>
          <w:rFonts w:hint="cs"/>
          <w:sz w:val="24"/>
          <w:szCs w:val="24"/>
          <w:rtl/>
        </w:rPr>
        <w:t>. לרבנן האכילה מעכבת</w:t>
      </w:r>
      <w:r w:rsidR="00E630DE">
        <w:rPr>
          <w:rFonts w:hint="cs"/>
          <w:sz w:val="24"/>
          <w:szCs w:val="24"/>
          <w:rtl/>
        </w:rPr>
        <w:t>, [ואין הכוונה לאכילה בפועל, אלא ש</w:t>
      </w:r>
      <w:r w:rsidR="00C6228E">
        <w:rPr>
          <w:rFonts w:hint="cs"/>
          <w:sz w:val="24"/>
          <w:szCs w:val="24"/>
          <w:rtl/>
        </w:rPr>
        <w:t>תהיה לבעלים אפשרות לאכול מ</w:t>
      </w:r>
      <w:r w:rsidR="00E630DE">
        <w:rPr>
          <w:rFonts w:hint="cs"/>
          <w:sz w:val="24"/>
          <w:szCs w:val="24"/>
          <w:rtl/>
        </w:rPr>
        <w:t>הפסח].</w:t>
      </w:r>
      <w:r w:rsidR="008D2375">
        <w:rPr>
          <w:rFonts w:hint="cs"/>
          <w:sz w:val="24"/>
          <w:szCs w:val="24"/>
          <w:rtl/>
        </w:rPr>
        <w:t xml:space="preserve"> ולרבי נתן אינה מעכבת.</w:t>
      </w:r>
      <w:r w:rsidR="00D147C1" w:rsidRPr="00D147C1">
        <w:rPr>
          <w:rFonts w:hint="cs"/>
          <w:sz w:val="24"/>
          <w:szCs w:val="24"/>
          <w:rtl/>
        </w:rPr>
        <w:t xml:space="preserve"> ו</w:t>
      </w:r>
      <w:r w:rsidR="00A25D99">
        <w:rPr>
          <w:rFonts w:hint="cs"/>
          <w:sz w:val="24"/>
          <w:szCs w:val="24"/>
          <w:rtl/>
        </w:rPr>
        <w:t xml:space="preserve">מבואר בגמ' שמ"מ צריך </w:t>
      </w:r>
      <w:r w:rsidR="00A25D99" w:rsidRPr="00D147C1">
        <w:rPr>
          <w:rFonts w:hint="cs"/>
          <w:sz w:val="24"/>
          <w:szCs w:val="24"/>
          <w:rtl/>
        </w:rPr>
        <w:t>שיהיה הגברא ראוי לאכילה</w:t>
      </w:r>
      <w:r w:rsidR="00A25D99">
        <w:rPr>
          <w:rFonts w:hint="cs"/>
          <w:sz w:val="24"/>
          <w:szCs w:val="24"/>
          <w:rtl/>
        </w:rPr>
        <w:t xml:space="preserve"> [אף שאי אפשר שיאכל בפועל]</w:t>
      </w:r>
      <w:r w:rsidR="008D2375">
        <w:rPr>
          <w:rFonts w:hint="cs"/>
          <w:sz w:val="24"/>
          <w:szCs w:val="24"/>
          <w:rtl/>
        </w:rPr>
        <w:t>,</w:t>
      </w:r>
      <w:r w:rsidR="00A25D99">
        <w:rPr>
          <w:rFonts w:hint="cs"/>
          <w:sz w:val="24"/>
          <w:szCs w:val="24"/>
          <w:rtl/>
        </w:rPr>
        <w:t xml:space="preserve"> אך כתב רש"י ש</w:t>
      </w:r>
      <w:r w:rsidR="00D147C1" w:rsidRPr="00D147C1">
        <w:rPr>
          <w:rFonts w:hint="cs"/>
          <w:sz w:val="24"/>
          <w:szCs w:val="24"/>
          <w:rtl/>
        </w:rPr>
        <w:t>נח</w:t>
      </w:r>
      <w:bookmarkStart w:id="0" w:name="_GoBack"/>
      <w:bookmarkEnd w:id="0"/>
      <w:r w:rsidR="00D147C1" w:rsidRPr="00D147C1">
        <w:rPr>
          <w:rFonts w:hint="cs"/>
          <w:sz w:val="24"/>
          <w:szCs w:val="24"/>
          <w:rtl/>
        </w:rPr>
        <w:t xml:space="preserve">לקו </w:t>
      </w:r>
      <w:r w:rsidR="00A25D99">
        <w:rPr>
          <w:rFonts w:hint="cs"/>
          <w:sz w:val="24"/>
          <w:szCs w:val="24"/>
          <w:rtl/>
        </w:rPr>
        <w:t>בזה רבי אלעזר ורבי יוחנן.</w:t>
      </w:r>
      <w:r w:rsidR="00A25D99" w:rsidRPr="00D147C1">
        <w:rPr>
          <w:rFonts w:hint="cs"/>
          <w:sz w:val="24"/>
          <w:szCs w:val="24"/>
          <w:rtl/>
        </w:rPr>
        <w:t xml:space="preserve"> </w:t>
      </w:r>
    </w:p>
    <w:p w:rsidR="00D147C1" w:rsidRPr="00D147C1" w:rsidRDefault="00EF3F11" w:rsidP="00D147C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D147C1" w:rsidRPr="00D147C1">
        <w:rPr>
          <w:rFonts w:hint="cs"/>
          <w:sz w:val="24"/>
          <w:szCs w:val="24"/>
          <w:rtl/>
        </w:rPr>
        <w:t>. לרבינא אפי' נטמא במזיד מרצה הציץ, אבל לא אם נזרק הדם במזיד. ולרבי שילא אפי' נזרק הדם במזיד הציץ מרצה, אבל לא אם נטמא במזיד.</w:t>
      </w:r>
    </w:p>
    <w:p w:rsidR="00D147C1" w:rsidRPr="00D147C1" w:rsidRDefault="00EF3F11" w:rsidP="00D147C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D147C1" w:rsidRPr="00D147C1">
        <w:rPr>
          <w:rFonts w:hint="cs"/>
          <w:sz w:val="24"/>
          <w:szCs w:val="24"/>
          <w:rtl/>
        </w:rPr>
        <w:t>. לבעל הבית אסור, לאכסנאי מותר</w:t>
      </w:r>
      <w:r w:rsidR="006945B5">
        <w:rPr>
          <w:rFonts w:hint="cs"/>
          <w:sz w:val="24"/>
          <w:szCs w:val="24"/>
          <w:rtl/>
        </w:rPr>
        <w:t>,</w:t>
      </w:r>
      <w:r w:rsidR="00D147C1" w:rsidRPr="00D147C1">
        <w:rPr>
          <w:rFonts w:hint="cs"/>
          <w:sz w:val="24"/>
          <w:szCs w:val="24"/>
          <w:rtl/>
        </w:rPr>
        <w:t xml:space="preserve"> ונחלקו </w:t>
      </w:r>
      <w:r w:rsidR="006945B5">
        <w:rPr>
          <w:rFonts w:hint="cs"/>
          <w:sz w:val="24"/>
          <w:szCs w:val="24"/>
          <w:rtl/>
        </w:rPr>
        <w:t xml:space="preserve">האמוראים </w:t>
      </w:r>
      <w:r w:rsidR="00D147C1" w:rsidRPr="00D147C1">
        <w:rPr>
          <w:rFonts w:hint="cs"/>
          <w:sz w:val="24"/>
          <w:szCs w:val="24"/>
          <w:rtl/>
        </w:rPr>
        <w:t>אם ההיתר דווקא בהחזיק בדרך או לא.</w:t>
      </w:r>
      <w:r w:rsidR="00A64449">
        <w:rPr>
          <w:rFonts w:hint="cs"/>
          <w:sz w:val="24"/>
          <w:szCs w:val="24"/>
          <w:rtl/>
        </w:rPr>
        <w:t xml:space="preserve"> </w:t>
      </w:r>
      <w:r w:rsidR="00A64449" w:rsidRPr="00A64449">
        <w:rPr>
          <w:rFonts w:hint="cs"/>
          <w:sz w:val="20"/>
          <w:szCs w:val="20"/>
          <w:rtl/>
        </w:rPr>
        <w:t>[וכן הצייקנין מותר להם, ויש מבארים שרק בדיעבד אם שרף התנו בי"ד ע"ז שלא יעבור איסור]</w:t>
      </w:r>
      <w:r w:rsidR="00E12C06">
        <w:rPr>
          <w:rFonts w:hint="cs"/>
          <w:sz w:val="24"/>
          <w:szCs w:val="24"/>
          <w:rtl/>
        </w:rPr>
        <w:t>.</w:t>
      </w:r>
    </w:p>
    <w:p w:rsidR="00987EA6" w:rsidRDefault="00B51432" w:rsidP="00D15D4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="00D147C1" w:rsidRPr="00D147C1">
        <w:rPr>
          <w:rFonts w:hint="cs"/>
          <w:sz w:val="24"/>
          <w:szCs w:val="24"/>
          <w:rtl/>
        </w:rPr>
        <w:t>. גידי בשר נאכלים. גידי צואר לרב אין נאכלין ואין נשרפין כיון שהם כעץ בעלמא. גיד הנשה אפי' אלו ש</w:t>
      </w:r>
      <w:r w:rsidR="00D15D4A">
        <w:rPr>
          <w:rFonts w:hint="cs"/>
          <w:sz w:val="24"/>
          <w:szCs w:val="24"/>
          <w:rtl/>
        </w:rPr>
        <w:t xml:space="preserve">נאסרו </w:t>
      </w:r>
      <w:r w:rsidR="00D147C1" w:rsidRPr="00D147C1">
        <w:rPr>
          <w:rFonts w:hint="cs"/>
          <w:sz w:val="24"/>
          <w:szCs w:val="24"/>
          <w:rtl/>
        </w:rPr>
        <w:t>רק מספק או מדרבנן, אין נאכלין ונשרפין.</w:t>
      </w:r>
    </w:p>
    <w:p w:rsidR="00CB0D33" w:rsidRDefault="00CB0D33" w:rsidP="00D147C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ו. </w:t>
      </w:r>
      <w:r w:rsidR="007A6465">
        <w:rPr>
          <w:rFonts w:hint="cs"/>
          <w:sz w:val="24"/>
          <w:szCs w:val="24"/>
          <w:rtl/>
        </w:rPr>
        <w:t>בשערי ירושלים דינו כבחוץ, בשערי העזרה דינו כלפנים.</w:t>
      </w:r>
    </w:p>
    <w:p w:rsidR="00D147C1" w:rsidRPr="00707360" w:rsidRDefault="00D147C1" w:rsidP="00D147C1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ז. </w:t>
      </w:r>
      <w:r w:rsidR="00725002">
        <w:rPr>
          <w:rFonts w:hint="cs"/>
          <w:sz w:val="24"/>
          <w:szCs w:val="24"/>
          <w:rtl/>
        </w:rPr>
        <w:t>אדם רגיל לא יאכל מהן,</w:t>
      </w:r>
      <w:r w:rsidR="00A20B6E">
        <w:rPr>
          <w:rFonts w:hint="cs"/>
          <w:sz w:val="24"/>
          <w:szCs w:val="24"/>
          <w:rtl/>
        </w:rPr>
        <w:t xml:space="preserve"> אלא יצאו לבית השריפה,</w:t>
      </w:r>
      <w:r w:rsidR="00725002">
        <w:rPr>
          <w:rFonts w:hint="cs"/>
          <w:sz w:val="24"/>
          <w:szCs w:val="24"/>
          <w:rtl/>
        </w:rPr>
        <w:t xml:space="preserve"> כיון שאין ברירה ולא ידוע לנו מה היתה דעתו בשעת שחיטה. מלך ומלכה שאינם מקפידים מה יאכלו, יאכלו מן הראשון.</w:t>
      </w:r>
    </w:p>
    <w:sectPr w:rsidR="00D147C1" w:rsidRPr="0070736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7328B"/>
    <w:rsid w:val="00081112"/>
    <w:rsid w:val="00142B29"/>
    <w:rsid w:val="001D15FC"/>
    <w:rsid w:val="001F2258"/>
    <w:rsid w:val="002312DE"/>
    <w:rsid w:val="0034324F"/>
    <w:rsid w:val="004049B1"/>
    <w:rsid w:val="004655EE"/>
    <w:rsid w:val="00474EB0"/>
    <w:rsid w:val="005150FA"/>
    <w:rsid w:val="006945B5"/>
    <w:rsid w:val="006D52DF"/>
    <w:rsid w:val="00707360"/>
    <w:rsid w:val="00725002"/>
    <w:rsid w:val="007A6465"/>
    <w:rsid w:val="008A335F"/>
    <w:rsid w:val="008D2375"/>
    <w:rsid w:val="00931475"/>
    <w:rsid w:val="0098434A"/>
    <w:rsid w:val="00987613"/>
    <w:rsid w:val="00987EA6"/>
    <w:rsid w:val="009A7C14"/>
    <w:rsid w:val="00A20B6E"/>
    <w:rsid w:val="00A25D99"/>
    <w:rsid w:val="00A64449"/>
    <w:rsid w:val="00A84C66"/>
    <w:rsid w:val="00AA6352"/>
    <w:rsid w:val="00AF0CAD"/>
    <w:rsid w:val="00B51432"/>
    <w:rsid w:val="00BE5698"/>
    <w:rsid w:val="00C415AA"/>
    <w:rsid w:val="00C6228E"/>
    <w:rsid w:val="00CB0D33"/>
    <w:rsid w:val="00CD56BA"/>
    <w:rsid w:val="00CD7905"/>
    <w:rsid w:val="00CF48FE"/>
    <w:rsid w:val="00D147C1"/>
    <w:rsid w:val="00D15D4A"/>
    <w:rsid w:val="00E12C06"/>
    <w:rsid w:val="00E630DE"/>
    <w:rsid w:val="00EF3F11"/>
    <w:rsid w:val="00EF717C"/>
    <w:rsid w:val="00F57C51"/>
    <w:rsid w:val="00FC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887B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405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32</cp:revision>
  <dcterms:created xsi:type="dcterms:W3CDTF">2021-02-16T16:12:00Z</dcterms:created>
  <dcterms:modified xsi:type="dcterms:W3CDTF">2021-03-03T10:16:00Z</dcterms:modified>
</cp:coreProperties>
</file>