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F0C" w:rsidRDefault="00C27971">
      <w:pPr>
        <w:rPr>
          <w:rFonts w:hint="cs"/>
          <w:rtl/>
        </w:rPr>
      </w:pPr>
      <w:proofErr w:type="spellStart"/>
      <w:r>
        <w:rPr>
          <w:rFonts w:hint="cs"/>
          <w:rtl/>
        </w:rPr>
        <w:t>בס''ד</w:t>
      </w:r>
      <w:proofErr w:type="spellEnd"/>
      <w:r>
        <w:rPr>
          <w:rFonts w:hint="cs"/>
          <w:rtl/>
        </w:rPr>
        <w:t xml:space="preserve">                                                                                                      יוסף רפפורט</w:t>
      </w:r>
    </w:p>
    <w:p w:rsidR="00C27971" w:rsidRDefault="00C27971">
      <w:pPr>
        <w:rPr>
          <w:rtl/>
        </w:rPr>
      </w:pPr>
    </w:p>
    <w:p w:rsidR="00C27971" w:rsidRDefault="00C27971" w:rsidP="00C27971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אם זה לא טווי לא מטמא ואם זה טווי ג' </w:t>
      </w:r>
      <w:proofErr w:type="spellStart"/>
      <w:r>
        <w:rPr>
          <w:rFonts w:hint="cs"/>
          <w:rtl/>
        </w:rPr>
        <w:t>מינין</w:t>
      </w:r>
      <w:proofErr w:type="spellEnd"/>
      <w:r>
        <w:rPr>
          <w:rFonts w:hint="cs"/>
          <w:rtl/>
        </w:rPr>
        <w:t xml:space="preserve"> מטמא כיון שראוי לתלות </w:t>
      </w:r>
      <w:proofErr w:type="spellStart"/>
      <w:r>
        <w:rPr>
          <w:rFonts w:hint="cs"/>
          <w:rtl/>
        </w:rPr>
        <w:t>בצואר</w:t>
      </w:r>
      <w:proofErr w:type="spellEnd"/>
      <w:r>
        <w:rPr>
          <w:rFonts w:hint="cs"/>
          <w:rtl/>
        </w:rPr>
        <w:t xml:space="preserve"> בתו של עני.</w:t>
      </w:r>
    </w:p>
    <w:p w:rsidR="00AE70EF" w:rsidRDefault="00AE70EF" w:rsidP="00AE70EF">
      <w:pPr>
        <w:pStyle w:val="a3"/>
        <w:rPr>
          <w:rFonts w:hint="cs"/>
        </w:rPr>
      </w:pPr>
    </w:p>
    <w:p w:rsidR="00C27971" w:rsidRDefault="00C27971" w:rsidP="00C27971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המשנה אומרת שמותר ובגמ' </w:t>
      </w:r>
      <w:proofErr w:type="spellStart"/>
      <w:r>
        <w:rPr>
          <w:rFonts w:hint="cs"/>
          <w:rtl/>
        </w:rPr>
        <w:t>אבוה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דשמואל</w:t>
      </w:r>
      <w:proofErr w:type="spellEnd"/>
      <w:r>
        <w:rPr>
          <w:rFonts w:hint="cs"/>
          <w:rtl/>
        </w:rPr>
        <w:t xml:space="preserve"> לא הסכים לבתו לצאת עם חוטים צבעונים.</w:t>
      </w:r>
    </w:p>
    <w:p w:rsidR="00AE70EF" w:rsidRDefault="00AE70EF" w:rsidP="00AE70EF">
      <w:pPr>
        <w:pStyle w:val="a3"/>
        <w:rPr>
          <w:rFonts w:hint="cs"/>
          <w:rtl/>
        </w:rPr>
      </w:pPr>
    </w:p>
    <w:p w:rsidR="00AE70EF" w:rsidRDefault="00AE70EF" w:rsidP="00AE70EF">
      <w:pPr>
        <w:pStyle w:val="a3"/>
        <w:rPr>
          <w:rFonts w:hint="cs"/>
        </w:rPr>
      </w:pPr>
    </w:p>
    <w:p w:rsidR="00C27971" w:rsidRDefault="007C605B" w:rsidP="00C27971">
      <w:pPr>
        <w:pStyle w:val="a3"/>
        <w:numPr>
          <w:ilvl w:val="0"/>
          <w:numId w:val="2"/>
        </w:numPr>
      </w:pPr>
      <w:proofErr w:type="spellStart"/>
      <w:r>
        <w:rPr>
          <w:rFonts w:hint="cs"/>
          <w:rtl/>
        </w:rPr>
        <w:t>רבינא</w:t>
      </w:r>
      <w:proofErr w:type="spellEnd"/>
      <w:r>
        <w:rPr>
          <w:rFonts w:hint="cs"/>
          <w:rtl/>
        </w:rPr>
        <w:t xml:space="preserve"> אומר שמותר כיון שזה כמו ר</w:t>
      </w:r>
      <w:r w:rsidR="00AE70EF">
        <w:rPr>
          <w:rFonts w:hint="cs"/>
          <w:rtl/>
        </w:rPr>
        <w:t>פואה שיראו את זה האנשים ויתפללו.</w:t>
      </w:r>
    </w:p>
    <w:p w:rsidR="00AE70EF" w:rsidRDefault="00AE70EF" w:rsidP="00AE70EF">
      <w:pPr>
        <w:pStyle w:val="a3"/>
        <w:rPr>
          <w:rFonts w:hint="cs"/>
        </w:rPr>
      </w:pPr>
    </w:p>
    <w:p w:rsidR="007C605B" w:rsidRDefault="007C605B" w:rsidP="00C27971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מח' בגמ' דעת </w:t>
      </w:r>
      <w:proofErr w:type="spellStart"/>
      <w:r>
        <w:rPr>
          <w:rFonts w:hint="cs"/>
          <w:rtl/>
        </w:rPr>
        <w:t>מונבז</w:t>
      </w:r>
      <w:proofErr w:type="spellEnd"/>
      <w:r>
        <w:rPr>
          <w:rFonts w:hint="cs"/>
          <w:rtl/>
        </w:rPr>
        <w:t xml:space="preserve"> שגגת קרבן ודעת חכמים מח' </w:t>
      </w:r>
      <w:proofErr w:type="spellStart"/>
      <w:r>
        <w:rPr>
          <w:rFonts w:hint="cs"/>
          <w:rtl/>
        </w:rPr>
        <w:t>לר</w:t>
      </w:r>
      <w:proofErr w:type="spellEnd"/>
      <w:r>
        <w:rPr>
          <w:rFonts w:hint="cs"/>
          <w:rtl/>
        </w:rPr>
        <w:t>' יוחנן שגגת כרת ולריש לקיש לאו וכרת.</w:t>
      </w:r>
    </w:p>
    <w:p w:rsidR="00AE70EF" w:rsidRDefault="00AE70EF" w:rsidP="00AE70EF">
      <w:pPr>
        <w:pStyle w:val="a3"/>
        <w:rPr>
          <w:rFonts w:hint="cs"/>
          <w:rtl/>
        </w:rPr>
      </w:pPr>
    </w:p>
    <w:p w:rsidR="00AE70EF" w:rsidRDefault="00AE70EF" w:rsidP="00AE70EF">
      <w:pPr>
        <w:pStyle w:val="a3"/>
        <w:rPr>
          <w:rFonts w:hint="cs"/>
        </w:rPr>
      </w:pPr>
    </w:p>
    <w:p w:rsidR="007C605B" w:rsidRDefault="007C605B" w:rsidP="00C27971">
      <w:pPr>
        <w:pStyle w:val="a3"/>
        <w:numPr>
          <w:ilvl w:val="0"/>
          <w:numId w:val="2"/>
        </w:numPr>
      </w:pPr>
      <w:proofErr w:type="spellStart"/>
      <w:r>
        <w:rPr>
          <w:rFonts w:hint="cs"/>
          <w:rtl/>
        </w:rPr>
        <w:t>לענין</w:t>
      </w:r>
      <w:proofErr w:type="spellEnd"/>
      <w:r>
        <w:rPr>
          <w:rFonts w:hint="cs"/>
          <w:rtl/>
        </w:rPr>
        <w:t xml:space="preserve"> חיוב חטאת יש חילוק לעניין צירוף כזית יש שתי לישנות בגמ' </w:t>
      </w:r>
      <w:proofErr w:type="spellStart"/>
      <w:r>
        <w:rPr>
          <w:rFonts w:hint="cs"/>
          <w:rtl/>
        </w:rPr>
        <w:t>ללישנא</w:t>
      </w:r>
      <w:proofErr w:type="spellEnd"/>
      <w:r>
        <w:rPr>
          <w:rFonts w:hint="cs"/>
          <w:rtl/>
        </w:rPr>
        <w:t xml:space="preserve"> קמא לא מצטרף </w:t>
      </w:r>
      <w:proofErr w:type="spellStart"/>
      <w:r>
        <w:rPr>
          <w:rFonts w:hint="cs"/>
          <w:rtl/>
        </w:rPr>
        <w:t>ללישנא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בתרא</w:t>
      </w:r>
      <w:proofErr w:type="spellEnd"/>
      <w:r>
        <w:rPr>
          <w:rFonts w:hint="cs"/>
          <w:rtl/>
        </w:rPr>
        <w:t xml:space="preserve"> מצטרף.</w:t>
      </w:r>
    </w:p>
    <w:p w:rsidR="00AE70EF" w:rsidRDefault="00AE70EF" w:rsidP="00AE70EF">
      <w:pPr>
        <w:pStyle w:val="a3"/>
        <w:rPr>
          <w:rFonts w:hint="cs"/>
        </w:rPr>
      </w:pPr>
    </w:p>
    <w:p w:rsidR="007C605B" w:rsidRDefault="007C605B" w:rsidP="00C27971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דעת רב </w:t>
      </w:r>
      <w:proofErr w:type="spellStart"/>
      <w:r>
        <w:rPr>
          <w:rFonts w:hint="cs"/>
          <w:rtl/>
        </w:rPr>
        <w:t>פפא</w:t>
      </w:r>
      <w:proofErr w:type="spellEnd"/>
      <w:r>
        <w:rPr>
          <w:rFonts w:hint="cs"/>
          <w:rtl/>
        </w:rPr>
        <w:t xml:space="preserve"> חייב משום  תולש ומשום מפרק ולרב אשי פטור משתיהם </w:t>
      </w:r>
      <w:proofErr w:type="spellStart"/>
      <w:r>
        <w:rPr>
          <w:rFonts w:hint="cs"/>
          <w:rtl/>
        </w:rPr>
        <w:t>כיווון</w:t>
      </w:r>
      <w:proofErr w:type="spellEnd"/>
      <w:r>
        <w:rPr>
          <w:rFonts w:hint="cs"/>
          <w:rtl/>
        </w:rPr>
        <w:t xml:space="preserve">  שאין דרך בכך.</w:t>
      </w:r>
    </w:p>
    <w:p w:rsidR="00AE70EF" w:rsidRDefault="00AE70EF" w:rsidP="00AE70EF">
      <w:pPr>
        <w:pStyle w:val="a3"/>
        <w:rPr>
          <w:rFonts w:hint="cs"/>
          <w:rtl/>
        </w:rPr>
      </w:pPr>
    </w:p>
    <w:p w:rsidR="00AE70EF" w:rsidRDefault="00AE70EF" w:rsidP="00AE70EF">
      <w:pPr>
        <w:pStyle w:val="a3"/>
        <w:rPr>
          <w:rFonts w:hint="cs"/>
        </w:rPr>
      </w:pPr>
      <w:bookmarkStart w:id="0" w:name="_GoBack"/>
      <w:bookmarkEnd w:id="0"/>
    </w:p>
    <w:p w:rsidR="007C605B" w:rsidRDefault="007C605B" w:rsidP="00C27971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לדעת רבה בר רב </w:t>
      </w:r>
      <w:proofErr w:type="spellStart"/>
      <w:r>
        <w:rPr>
          <w:rFonts w:hint="cs"/>
          <w:rtl/>
        </w:rPr>
        <w:t>הונא</w:t>
      </w:r>
      <w:proofErr w:type="spellEnd"/>
      <w:r>
        <w:rPr>
          <w:rFonts w:hint="cs"/>
          <w:rtl/>
        </w:rPr>
        <w:t xml:space="preserve"> אם מלח הרבה חייב ואם קצת פטור </w:t>
      </w:r>
      <w:proofErr w:type="spellStart"/>
      <w:r>
        <w:rPr>
          <w:rFonts w:hint="cs"/>
          <w:rtl/>
        </w:rPr>
        <w:t>ולרבא</w:t>
      </w:r>
      <w:proofErr w:type="spellEnd"/>
      <w:r>
        <w:rPr>
          <w:rFonts w:hint="cs"/>
          <w:rtl/>
        </w:rPr>
        <w:t xml:space="preserve"> פטור כי אין עיבוד </w:t>
      </w:r>
      <w:proofErr w:type="spellStart"/>
      <w:r>
        <w:rPr>
          <w:rFonts w:hint="cs"/>
          <w:rtl/>
        </w:rPr>
        <w:t>באוכלין</w:t>
      </w:r>
      <w:proofErr w:type="spellEnd"/>
      <w:r>
        <w:rPr>
          <w:rFonts w:hint="cs"/>
          <w:rtl/>
        </w:rPr>
        <w:t>.</w:t>
      </w:r>
    </w:p>
    <w:sectPr w:rsidR="007C605B" w:rsidSect="003F25C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D95A6D"/>
    <w:multiLevelType w:val="hybridMultilevel"/>
    <w:tmpl w:val="9496C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B6B81"/>
    <w:multiLevelType w:val="hybridMultilevel"/>
    <w:tmpl w:val="B3F65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971"/>
    <w:rsid w:val="003F25C4"/>
    <w:rsid w:val="007C605B"/>
    <w:rsid w:val="00AE70EF"/>
    <w:rsid w:val="00C27971"/>
    <w:rsid w:val="00F8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FE18"/>
  <w15:chartTrackingRefBased/>
  <w15:docId w15:val="{D035F054-2DEE-4C59-B8DF-61FD33B1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7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116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2020-05-21T17:59:00Z</dcterms:created>
  <dcterms:modified xsi:type="dcterms:W3CDTF">2020-05-21T18:22:00Z</dcterms:modified>
</cp:coreProperties>
</file>