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EF717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6335A7" w:rsidRDefault="006335A7" w:rsidP="00EF717C">
      <w:pPr>
        <w:spacing w:line="276" w:lineRule="auto"/>
        <w:jc w:val="right"/>
        <w:rPr>
          <w:sz w:val="20"/>
          <w:szCs w:val="20"/>
          <w:rtl/>
        </w:rPr>
      </w:pPr>
    </w:p>
    <w:p w:rsidR="006335A7" w:rsidRDefault="006335A7" w:rsidP="00EF717C">
      <w:pPr>
        <w:spacing w:line="276" w:lineRule="auto"/>
        <w:jc w:val="right"/>
        <w:rPr>
          <w:sz w:val="20"/>
          <w:szCs w:val="20"/>
          <w:rtl/>
        </w:rPr>
      </w:pPr>
    </w:p>
    <w:p w:rsidR="006335A7" w:rsidRPr="00D3089C" w:rsidRDefault="006335A7" w:rsidP="00EF717C">
      <w:pPr>
        <w:spacing w:line="276" w:lineRule="auto"/>
        <w:jc w:val="right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F57C51" w:rsidP="00795A2B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ש</w:t>
      </w:r>
      <w:r w:rsidR="001F2258">
        <w:rPr>
          <w:rFonts w:asciiTheme="majorBidi" w:hAnsiTheme="majorBidi" w:cstheme="majorBidi" w:hint="cs"/>
          <w:sz w:val="32"/>
          <w:szCs w:val="32"/>
          <w:rtl/>
        </w:rPr>
        <w:t>בת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795A2B">
        <w:rPr>
          <w:rFonts w:asciiTheme="majorBidi" w:hAnsiTheme="majorBidi" w:cstheme="majorBidi" w:hint="cs"/>
          <w:sz w:val="32"/>
          <w:szCs w:val="32"/>
          <w:rtl/>
        </w:rPr>
        <w:t>ע</w:t>
      </w:r>
      <w:r w:rsidR="0098434A">
        <w:rPr>
          <w:rFonts w:asciiTheme="majorBidi" w:hAnsiTheme="majorBidi" w:cstheme="majorBidi" w:hint="cs"/>
          <w:sz w:val="32"/>
          <w:szCs w:val="32"/>
          <w:rtl/>
        </w:rPr>
        <w:t>ו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795A2B">
        <w:rPr>
          <w:rFonts w:asciiTheme="majorBidi" w:hAnsiTheme="majorBidi" w:cstheme="majorBidi" w:hint="cs"/>
          <w:sz w:val="32"/>
          <w:szCs w:val="32"/>
          <w:rtl/>
        </w:rPr>
        <w:t>צ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6263D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6263D6">
        <w:rPr>
          <w:rFonts w:asciiTheme="majorBidi" w:hAnsiTheme="majorBidi" w:cstheme="majorBidi" w:hint="cs"/>
          <w:sz w:val="32"/>
          <w:szCs w:val="32"/>
          <w:rtl/>
        </w:rPr>
        <w:t>המוציא מים בשבת, באיזה שיעור חייב משום הוצאה.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6263D6">
        <w:rPr>
          <w:rFonts w:asciiTheme="majorBidi" w:hAnsiTheme="majorBidi" w:cstheme="majorBidi" w:hint="cs"/>
          <w:sz w:val="32"/>
          <w:szCs w:val="32"/>
          <w:rtl/>
        </w:rPr>
        <w:t>הוציא שני חצאי גרוגרת והניחם ברה"ר, איזה הפסק ביניהם מועיל לפוטרו מחיוב.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6263D6">
        <w:rPr>
          <w:rFonts w:asciiTheme="majorBidi" w:hAnsiTheme="majorBidi" w:cstheme="majorBidi" w:hint="cs"/>
          <w:sz w:val="32"/>
          <w:szCs w:val="32"/>
          <w:rtl/>
        </w:rPr>
        <w:t>האם מותר בשבת לטלטל עציץ נקוב ממקום למקום.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6263D6">
        <w:rPr>
          <w:rFonts w:asciiTheme="majorBidi" w:hAnsiTheme="majorBidi" w:cstheme="majorBidi" w:hint="cs"/>
          <w:sz w:val="32"/>
          <w:szCs w:val="32"/>
          <w:rtl/>
        </w:rPr>
        <w:t>ע"ז של חוליות שהתפר</w:t>
      </w:r>
      <w:bookmarkStart w:id="0" w:name="_GoBack"/>
      <w:bookmarkEnd w:id="0"/>
      <w:r w:rsidR="006263D6">
        <w:rPr>
          <w:rFonts w:asciiTheme="majorBidi" w:hAnsiTheme="majorBidi" w:cstheme="majorBidi" w:hint="cs"/>
          <w:sz w:val="32"/>
          <w:szCs w:val="32"/>
          <w:rtl/>
        </w:rPr>
        <w:t>קה, האם יש אופן שהיא טמאה.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11002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6263D6">
        <w:rPr>
          <w:rFonts w:asciiTheme="majorBidi" w:hAnsiTheme="majorBidi" w:cstheme="majorBidi" w:hint="cs"/>
          <w:sz w:val="32"/>
          <w:szCs w:val="32"/>
          <w:rtl/>
        </w:rPr>
        <w:t xml:space="preserve">האם בערוגה שבין הערוגות </w:t>
      </w:r>
      <w:r w:rsidR="00110023">
        <w:rPr>
          <w:rFonts w:asciiTheme="majorBidi" w:hAnsiTheme="majorBidi" w:cstheme="majorBidi" w:hint="cs"/>
          <w:sz w:val="32"/>
          <w:szCs w:val="32"/>
          <w:rtl/>
        </w:rPr>
        <w:t xml:space="preserve">ג"כ </w:t>
      </w:r>
      <w:r w:rsidR="00110023">
        <w:rPr>
          <w:rFonts w:asciiTheme="majorBidi" w:hAnsiTheme="majorBidi" w:cstheme="majorBidi" w:hint="cs"/>
          <w:sz w:val="32"/>
          <w:szCs w:val="32"/>
          <w:rtl/>
        </w:rPr>
        <w:t xml:space="preserve">מותר לזרוע </w:t>
      </w:r>
      <w:r w:rsidR="006263D6">
        <w:rPr>
          <w:rFonts w:asciiTheme="majorBidi" w:hAnsiTheme="majorBidi" w:cstheme="majorBidi" w:hint="cs"/>
          <w:sz w:val="32"/>
          <w:szCs w:val="32"/>
          <w:rtl/>
        </w:rPr>
        <w:t>חמשה מיני זרעים.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6263D6">
        <w:rPr>
          <w:rFonts w:asciiTheme="majorBidi" w:hAnsiTheme="majorBidi" w:cstheme="majorBidi" w:hint="cs"/>
          <w:sz w:val="32"/>
          <w:szCs w:val="32"/>
          <w:rtl/>
        </w:rPr>
        <w:t>באיזה יום בשבוע היה ט"ו בניסן בשנה שיצאו בני ישראל ממצרים.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6263D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6263D6">
        <w:rPr>
          <w:rFonts w:asciiTheme="majorBidi" w:hAnsiTheme="majorBidi" w:cstheme="majorBidi" w:hint="cs"/>
          <w:sz w:val="32"/>
          <w:szCs w:val="32"/>
          <w:rtl/>
        </w:rPr>
        <w:t>מהו שיעור ההוצאה בסממנים לצבע, כשהם שרויים וכשאינם שרויים.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6335A7" w:rsidRDefault="006335A7" w:rsidP="00795A2B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795A2B" w:rsidRPr="00795A2B" w:rsidRDefault="00795A2B" w:rsidP="00795A2B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795A2B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שבת צ: - קד: יתקיים בס"ד ביום חמישי כ"ו סיון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987EA6" w:rsidRDefault="00987EA6" w:rsidP="00E03E7A">
      <w:pPr>
        <w:rPr>
          <w:rFonts w:hint="cs"/>
          <w:rtl/>
        </w:rPr>
      </w:pPr>
      <w:r>
        <w:rPr>
          <w:rFonts w:hint="cs"/>
          <w:rtl/>
        </w:rPr>
        <w:t xml:space="preserve">א. </w:t>
      </w:r>
      <w:r w:rsidR="00395435">
        <w:rPr>
          <w:rFonts w:hint="cs"/>
          <w:rtl/>
        </w:rPr>
        <w:t xml:space="preserve">לאביי </w:t>
      </w:r>
      <w:r w:rsidR="00E03E7A">
        <w:rPr>
          <w:rFonts w:hint="cs"/>
          <w:rtl/>
        </w:rPr>
        <w:t xml:space="preserve">רק </w:t>
      </w:r>
      <w:r w:rsidR="00395435">
        <w:rPr>
          <w:rFonts w:hint="cs"/>
          <w:rtl/>
        </w:rPr>
        <w:t xml:space="preserve">בגליל </w:t>
      </w:r>
      <w:r w:rsidR="00E03E7A">
        <w:rPr>
          <w:rFonts w:hint="cs"/>
          <w:rtl/>
        </w:rPr>
        <w:t>שיעורו כ</w:t>
      </w:r>
      <w:r w:rsidR="00395435">
        <w:rPr>
          <w:rFonts w:hint="cs"/>
          <w:rtl/>
        </w:rPr>
        <w:t xml:space="preserve">די לשוף קילור </w:t>
      </w:r>
      <w:r w:rsidR="00E03E7A">
        <w:rPr>
          <w:rFonts w:hint="cs"/>
          <w:rtl/>
        </w:rPr>
        <w:t>(</w:t>
      </w:r>
      <w:r w:rsidR="00395435">
        <w:rPr>
          <w:rFonts w:hint="cs"/>
          <w:rtl/>
        </w:rPr>
        <w:t>ובשאר מקומות ברביעית</w:t>
      </w:r>
      <w:r w:rsidR="00E03E7A">
        <w:rPr>
          <w:rFonts w:hint="cs"/>
          <w:rtl/>
        </w:rPr>
        <w:t>)</w:t>
      </w:r>
      <w:r w:rsidR="00395435">
        <w:rPr>
          <w:rFonts w:hint="cs"/>
          <w:rtl/>
        </w:rPr>
        <w:t>, ולרבא בכל מקום כדי לשוף קילור.</w:t>
      </w:r>
    </w:p>
    <w:p w:rsidR="00395435" w:rsidRDefault="00395435" w:rsidP="00987EA6">
      <w:pPr>
        <w:rPr>
          <w:rtl/>
        </w:rPr>
      </w:pPr>
      <w:r>
        <w:rPr>
          <w:rFonts w:hint="cs"/>
          <w:rtl/>
        </w:rPr>
        <w:t>ב. לחד מ"ד רק רה"י, לחד מ"ד אפילו כרמלית, ולחד מ"ד אפי' פיסלא.</w:t>
      </w:r>
      <w:r w:rsidR="00D003D2">
        <w:rPr>
          <w:rFonts w:hint="cs"/>
          <w:rtl/>
        </w:rPr>
        <w:t xml:space="preserve"> [</w:t>
      </w:r>
      <w:r w:rsidR="003E2F84">
        <w:rPr>
          <w:rFonts w:hint="cs"/>
          <w:rtl/>
        </w:rPr>
        <w:t>ולת"ק דרבי יוסי בכל גווני חייב].</w:t>
      </w:r>
    </w:p>
    <w:p w:rsidR="00395435" w:rsidRDefault="00395435" w:rsidP="00A11E17">
      <w:pPr>
        <w:rPr>
          <w:rtl/>
        </w:rPr>
      </w:pPr>
      <w:r>
        <w:rPr>
          <w:rFonts w:hint="cs"/>
          <w:rtl/>
        </w:rPr>
        <w:t>ג. מהקרקע ליתדות הו</w:t>
      </w:r>
      <w:r w:rsidR="00982C76">
        <w:rPr>
          <w:rFonts w:hint="cs"/>
          <w:rtl/>
        </w:rPr>
        <w:t>י תולש, ומהיתדות לקרקע הוי נוטע.</w:t>
      </w:r>
      <w:r>
        <w:rPr>
          <w:rFonts w:hint="cs"/>
          <w:rtl/>
        </w:rPr>
        <w:t xml:space="preserve"> </w:t>
      </w:r>
      <w:r w:rsidR="00982C76">
        <w:rPr>
          <w:rFonts w:hint="cs"/>
          <w:rtl/>
        </w:rPr>
        <w:t>[</w:t>
      </w:r>
      <w:r>
        <w:rPr>
          <w:rFonts w:hint="cs"/>
          <w:rtl/>
        </w:rPr>
        <w:t>ו</w:t>
      </w:r>
      <w:r w:rsidR="005C38BC">
        <w:rPr>
          <w:rFonts w:hint="cs"/>
          <w:rtl/>
        </w:rPr>
        <w:t>כתב רש"י ש</w:t>
      </w:r>
      <w:r>
        <w:rPr>
          <w:rFonts w:hint="cs"/>
          <w:rtl/>
        </w:rPr>
        <w:t>הכל מדרבנן ו</w:t>
      </w:r>
      <w:r w:rsidR="00A11E17">
        <w:rPr>
          <w:rFonts w:hint="cs"/>
          <w:rtl/>
        </w:rPr>
        <w:t>לכן מותר לתלוש</w:t>
      </w:r>
      <w:r w:rsidR="00982C76">
        <w:rPr>
          <w:rFonts w:hint="cs"/>
          <w:rtl/>
        </w:rPr>
        <w:t xml:space="preserve"> ממנו</w:t>
      </w:r>
      <w:r w:rsidR="00A11E17">
        <w:rPr>
          <w:rFonts w:hint="cs"/>
          <w:rtl/>
        </w:rPr>
        <w:t xml:space="preserve"> עשבים</w:t>
      </w:r>
      <w:r>
        <w:rPr>
          <w:rFonts w:hint="cs"/>
          <w:rtl/>
        </w:rPr>
        <w:t xml:space="preserve"> לצורך קינוח</w:t>
      </w:r>
      <w:r w:rsidR="00982C76">
        <w:rPr>
          <w:rFonts w:hint="cs"/>
          <w:rtl/>
        </w:rPr>
        <w:t>]</w:t>
      </w:r>
      <w:r>
        <w:rPr>
          <w:rFonts w:hint="cs"/>
          <w:rtl/>
        </w:rPr>
        <w:t>.</w:t>
      </w:r>
    </w:p>
    <w:p w:rsidR="00395435" w:rsidRDefault="00395435" w:rsidP="003621D9">
      <w:pPr>
        <w:rPr>
          <w:rFonts w:hint="cs"/>
          <w:rtl/>
        </w:rPr>
      </w:pPr>
      <w:r>
        <w:rPr>
          <w:rFonts w:hint="cs"/>
          <w:rtl/>
        </w:rPr>
        <w:t xml:space="preserve">ד. </w:t>
      </w:r>
      <w:r w:rsidR="003621D9">
        <w:rPr>
          <w:rFonts w:hint="cs"/>
          <w:rtl/>
        </w:rPr>
        <w:t>נסתפק בזה רב חמא בר גוריא (לדעת רבה אליבא דר"ע),</w:t>
      </w:r>
      <w:r w:rsidR="003621D9">
        <w:rPr>
          <w:rFonts w:hint="cs"/>
          <w:rtl/>
        </w:rPr>
        <w:t xml:space="preserve"> ול</w:t>
      </w:r>
      <w:r>
        <w:rPr>
          <w:rFonts w:hint="cs"/>
          <w:rtl/>
        </w:rPr>
        <w:t xml:space="preserve">לישנא </w:t>
      </w:r>
      <w:r w:rsidR="003621D9">
        <w:rPr>
          <w:rFonts w:hint="cs"/>
          <w:rtl/>
        </w:rPr>
        <w:t>קמא אם ה</w:t>
      </w:r>
      <w:r w:rsidR="003621D9">
        <w:rPr>
          <w:rFonts w:hint="cs"/>
          <w:rtl/>
        </w:rPr>
        <w:t>הדיוט יכול להחזירה</w:t>
      </w:r>
      <w:r w:rsidR="003621D9">
        <w:rPr>
          <w:rFonts w:hint="cs"/>
          <w:rtl/>
        </w:rPr>
        <w:t xml:space="preserve"> </w:t>
      </w:r>
      <w:r w:rsidR="003621D9">
        <w:rPr>
          <w:rFonts w:hint="cs"/>
          <w:rtl/>
        </w:rPr>
        <w:t>טמא</w:t>
      </w:r>
      <w:r w:rsidR="003621D9">
        <w:rPr>
          <w:rFonts w:hint="cs"/>
          <w:rtl/>
        </w:rPr>
        <w:t>ה</w:t>
      </w:r>
      <w:r w:rsidR="003621D9">
        <w:rPr>
          <w:rFonts w:hint="cs"/>
          <w:rtl/>
        </w:rPr>
        <w:t xml:space="preserve"> </w:t>
      </w:r>
      <w:r>
        <w:rPr>
          <w:rFonts w:hint="cs"/>
          <w:rtl/>
        </w:rPr>
        <w:t>ודאי</w:t>
      </w:r>
      <w:r w:rsidR="003621D9">
        <w:rPr>
          <w:rFonts w:hint="cs"/>
          <w:rtl/>
        </w:rPr>
        <w:t>,</w:t>
      </w:r>
      <w:r>
        <w:rPr>
          <w:rFonts w:hint="cs"/>
          <w:rtl/>
        </w:rPr>
        <w:t xml:space="preserve"> והספק </w:t>
      </w:r>
      <w:r w:rsidR="003621D9">
        <w:rPr>
          <w:rFonts w:hint="cs"/>
          <w:rtl/>
        </w:rPr>
        <w:t xml:space="preserve">כשאין יכול להחזירה, </w:t>
      </w:r>
      <w:r w:rsidR="002A7314">
        <w:rPr>
          <w:rFonts w:hint="cs"/>
          <w:rtl/>
        </w:rPr>
        <w:t xml:space="preserve">אך </w:t>
      </w:r>
      <w:r w:rsidR="003621D9">
        <w:rPr>
          <w:rFonts w:hint="cs"/>
          <w:rtl/>
        </w:rPr>
        <w:t>ללישנא בתרא הספק אם טמאה</w:t>
      </w:r>
      <w:r w:rsidR="003621D9">
        <w:rPr>
          <w:rFonts w:hint="cs"/>
          <w:rtl/>
        </w:rPr>
        <w:t xml:space="preserve"> </w:t>
      </w:r>
      <w:r w:rsidR="004135A6">
        <w:rPr>
          <w:rFonts w:hint="cs"/>
          <w:rtl/>
        </w:rPr>
        <w:t xml:space="preserve">אפילו </w:t>
      </w:r>
      <w:r w:rsidR="003621D9">
        <w:rPr>
          <w:rFonts w:hint="cs"/>
          <w:rtl/>
        </w:rPr>
        <w:t>כש</w:t>
      </w:r>
      <w:r w:rsidR="003621D9">
        <w:rPr>
          <w:rFonts w:hint="cs"/>
          <w:rtl/>
        </w:rPr>
        <w:t>הדיוט יכול להחזירה</w:t>
      </w:r>
      <w:r w:rsidR="003621D9">
        <w:rPr>
          <w:rFonts w:hint="cs"/>
          <w:rtl/>
        </w:rPr>
        <w:t>.</w:t>
      </w:r>
    </w:p>
    <w:p w:rsidR="00395435" w:rsidRDefault="00395435" w:rsidP="00A05260">
      <w:pPr>
        <w:rPr>
          <w:rtl/>
        </w:rPr>
      </w:pPr>
      <w:r>
        <w:rPr>
          <w:rFonts w:hint="cs"/>
          <w:rtl/>
        </w:rPr>
        <w:t xml:space="preserve">ה. </w:t>
      </w:r>
      <w:r w:rsidR="00A05260">
        <w:rPr>
          <w:rFonts w:hint="cs"/>
          <w:rtl/>
        </w:rPr>
        <w:t xml:space="preserve">לרב </w:t>
      </w:r>
      <w:r w:rsidR="00A05260">
        <w:rPr>
          <w:rFonts w:hint="cs"/>
          <w:rtl/>
        </w:rPr>
        <w:t xml:space="preserve">אסור, כיון דמיירי בממלא הקרנות. </w:t>
      </w:r>
      <w:r>
        <w:rPr>
          <w:rFonts w:hint="cs"/>
          <w:rtl/>
        </w:rPr>
        <w:t xml:space="preserve">לשמואל </w:t>
      </w:r>
      <w:r w:rsidR="00A05260">
        <w:rPr>
          <w:rFonts w:hint="cs"/>
          <w:rtl/>
        </w:rPr>
        <w:t>מותר בנוטה שורה לכאן ושורה לכאן</w:t>
      </w:r>
      <w:r>
        <w:rPr>
          <w:rFonts w:hint="cs"/>
          <w:rtl/>
        </w:rPr>
        <w:t xml:space="preserve">. ורבי יוחנן אמר שאם עוגל </w:t>
      </w:r>
      <w:r w:rsidR="00A05260">
        <w:rPr>
          <w:rFonts w:hint="cs"/>
          <w:rtl/>
        </w:rPr>
        <w:t>חמשה באמצע ערוגה ואינו זורע בין הערוגות כלל</w:t>
      </w:r>
      <w:r>
        <w:rPr>
          <w:rFonts w:hint="cs"/>
          <w:rtl/>
        </w:rPr>
        <w:t xml:space="preserve"> (או שזורע בכיוון אחר - שתי במקום ערב ולהיפך), שרי.</w:t>
      </w:r>
    </w:p>
    <w:p w:rsidR="00395435" w:rsidRDefault="00395435" w:rsidP="000F4BD8">
      <w:pPr>
        <w:rPr>
          <w:rFonts w:hint="cs"/>
          <w:rtl/>
        </w:rPr>
      </w:pPr>
      <w:r>
        <w:rPr>
          <w:rFonts w:hint="cs"/>
          <w:rtl/>
        </w:rPr>
        <w:t>ו.</w:t>
      </w:r>
      <w:r w:rsidR="00212316">
        <w:rPr>
          <w:rFonts w:hint="cs"/>
          <w:rtl/>
        </w:rPr>
        <w:t xml:space="preserve"> </w:t>
      </w:r>
      <w:r w:rsidR="00360BFA">
        <w:rPr>
          <w:rFonts w:hint="cs"/>
          <w:rtl/>
        </w:rPr>
        <w:t xml:space="preserve">בין לרבי יוסי ובין לרבנן </w:t>
      </w:r>
      <w:r>
        <w:rPr>
          <w:rFonts w:hint="cs"/>
          <w:rtl/>
        </w:rPr>
        <w:t>ביום חמישי. ו</w:t>
      </w:r>
      <w:r w:rsidR="00360BFA">
        <w:rPr>
          <w:rFonts w:hint="cs"/>
          <w:rtl/>
        </w:rPr>
        <w:t xml:space="preserve">בסדר עולם מבואר </w:t>
      </w:r>
      <w:r w:rsidR="00360BFA">
        <w:rPr>
          <w:rFonts w:hint="cs"/>
          <w:rtl/>
        </w:rPr>
        <w:t>שהיה ביום שישי</w:t>
      </w:r>
      <w:r w:rsidR="00360BFA">
        <w:rPr>
          <w:rFonts w:hint="cs"/>
          <w:rtl/>
        </w:rPr>
        <w:t>, ו</w:t>
      </w:r>
      <w:r w:rsidR="00FE5B9F">
        <w:rPr>
          <w:rFonts w:hint="cs"/>
          <w:rtl/>
        </w:rPr>
        <w:t>זהו</w:t>
      </w:r>
      <w:r w:rsidR="00360BFA">
        <w:rPr>
          <w:rFonts w:hint="cs"/>
          <w:rtl/>
        </w:rPr>
        <w:t xml:space="preserve"> דווקא </w:t>
      </w:r>
      <w:r>
        <w:rPr>
          <w:rFonts w:hint="cs"/>
          <w:rtl/>
        </w:rPr>
        <w:t>לרבנן דרבי יוסי</w:t>
      </w:r>
      <w:r w:rsidR="00AD4CCF">
        <w:rPr>
          <w:rFonts w:hint="cs"/>
          <w:rtl/>
        </w:rPr>
        <w:t xml:space="preserve"> [ו</w:t>
      </w:r>
      <w:r w:rsidR="000F4BD8">
        <w:rPr>
          <w:rFonts w:hint="cs"/>
          <w:rtl/>
        </w:rPr>
        <w:t xml:space="preserve">לדעה זו גם לרבנן </w:t>
      </w:r>
      <w:r w:rsidR="00AD4CCF">
        <w:rPr>
          <w:rFonts w:hint="cs"/>
          <w:rtl/>
        </w:rPr>
        <w:t>לא עיברו את אייר]</w:t>
      </w:r>
      <w:r>
        <w:rPr>
          <w:rFonts w:hint="cs"/>
          <w:rtl/>
        </w:rPr>
        <w:t>.</w:t>
      </w:r>
    </w:p>
    <w:p w:rsidR="00395435" w:rsidRDefault="00395435" w:rsidP="00395435">
      <w:pPr>
        <w:rPr>
          <w:rFonts w:hint="cs"/>
          <w:rtl/>
        </w:rPr>
      </w:pPr>
      <w:r>
        <w:rPr>
          <w:rFonts w:hint="cs"/>
          <w:rtl/>
        </w:rPr>
        <w:t>ז. כשהם שרויים כדי לצבוע דוגמא לאירא. וכשאינם שרויים כדי לצבוע בגד קטן פי סבכה.</w:t>
      </w:r>
    </w:p>
    <w:sectPr w:rsidR="00395435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4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B258D"/>
    <w:rsid w:val="000B5169"/>
    <w:rsid w:val="000F4BD8"/>
    <w:rsid w:val="00110023"/>
    <w:rsid w:val="00142B29"/>
    <w:rsid w:val="001F2258"/>
    <w:rsid w:val="00212316"/>
    <w:rsid w:val="002A7314"/>
    <w:rsid w:val="00360BFA"/>
    <w:rsid w:val="003621D9"/>
    <w:rsid w:val="00395435"/>
    <w:rsid w:val="003E2F84"/>
    <w:rsid w:val="004049B1"/>
    <w:rsid w:val="004135A6"/>
    <w:rsid w:val="00474EB0"/>
    <w:rsid w:val="004B090F"/>
    <w:rsid w:val="004B58B7"/>
    <w:rsid w:val="005C38BC"/>
    <w:rsid w:val="006038C9"/>
    <w:rsid w:val="006263D6"/>
    <w:rsid w:val="006335A7"/>
    <w:rsid w:val="00795A2B"/>
    <w:rsid w:val="008A335F"/>
    <w:rsid w:val="00982C76"/>
    <w:rsid w:val="0098434A"/>
    <w:rsid w:val="00987EA6"/>
    <w:rsid w:val="009A7C14"/>
    <w:rsid w:val="00A05260"/>
    <w:rsid w:val="00A11E17"/>
    <w:rsid w:val="00AD4CCF"/>
    <w:rsid w:val="00D003D2"/>
    <w:rsid w:val="00E03E7A"/>
    <w:rsid w:val="00EF717C"/>
    <w:rsid w:val="00F57C51"/>
    <w:rsid w:val="00FA16CE"/>
    <w:rsid w:val="00FE5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D6941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359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‏‏משתמש Windows</cp:lastModifiedBy>
  <cp:revision>27</cp:revision>
  <dcterms:created xsi:type="dcterms:W3CDTF">2020-06-02T06:56:00Z</dcterms:created>
  <dcterms:modified xsi:type="dcterms:W3CDTF">2020-06-02T08:03:00Z</dcterms:modified>
</cp:coreProperties>
</file>