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2A0C" w:rsidRPr="00EF2A0C" w:rsidRDefault="00EF2A0C" w:rsidP="00EF2A0C">
      <w:pPr>
        <w:spacing w:line="276" w:lineRule="auto"/>
        <w:jc w:val="right"/>
        <w:rPr>
          <w:sz w:val="20"/>
          <w:szCs w:val="20"/>
          <w:rtl/>
        </w:rPr>
      </w:pPr>
      <w:r w:rsidRPr="00EF2A0C">
        <w:rPr>
          <w:rFonts w:hint="cs"/>
          <w:sz w:val="20"/>
          <w:szCs w:val="20"/>
          <w:rtl/>
        </w:rPr>
        <w:t>שם: ___________________</w:t>
      </w:r>
    </w:p>
    <w:p w:rsidR="00EF2A0C" w:rsidRPr="00EF2A0C" w:rsidRDefault="00EF2A0C" w:rsidP="00EF2A0C">
      <w:pPr>
        <w:spacing w:line="276" w:lineRule="auto"/>
        <w:jc w:val="right"/>
        <w:rPr>
          <w:sz w:val="20"/>
          <w:szCs w:val="20"/>
          <w:rtl/>
        </w:rPr>
      </w:pPr>
    </w:p>
    <w:p w:rsidR="00EF2A0C" w:rsidRPr="00EF2A0C" w:rsidRDefault="00EF2A0C" w:rsidP="00EF2A0C">
      <w:pPr>
        <w:spacing w:line="276" w:lineRule="auto"/>
        <w:jc w:val="right"/>
        <w:rPr>
          <w:sz w:val="20"/>
          <w:szCs w:val="20"/>
          <w:rtl/>
        </w:rPr>
      </w:pPr>
    </w:p>
    <w:p w:rsidR="00EF2A0C" w:rsidRPr="00EF2A0C" w:rsidRDefault="00EF2A0C" w:rsidP="00EF2A0C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E33E07" w:rsidP="00E33E07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מועד קטן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ב.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>
        <w:rPr>
          <w:rFonts w:asciiTheme="majorBidi" w:hAnsiTheme="majorBidi" w:cstheme="majorBidi" w:hint="cs"/>
          <w:sz w:val="32"/>
          <w:szCs w:val="32"/>
          <w:rtl/>
        </w:rPr>
        <w:t>טו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3425C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3425C1">
        <w:rPr>
          <w:rFonts w:asciiTheme="majorBidi" w:hAnsiTheme="majorBidi" w:cstheme="majorBidi" w:hint="cs"/>
          <w:sz w:val="32"/>
          <w:szCs w:val="32"/>
          <w:rtl/>
        </w:rPr>
        <w:t xml:space="preserve">המשקה את הזרעים בשבת </w:t>
      </w:r>
      <w:r w:rsidR="0014579D">
        <w:rPr>
          <w:rFonts w:asciiTheme="majorBidi" w:hAnsiTheme="majorBidi" w:cstheme="majorBidi" w:hint="cs"/>
          <w:sz w:val="32"/>
          <w:szCs w:val="32"/>
          <w:rtl/>
        </w:rPr>
        <w:t xml:space="preserve">באיזה אב מלאכה </w:t>
      </w:r>
      <w:r w:rsidR="003425C1">
        <w:rPr>
          <w:rFonts w:asciiTheme="majorBidi" w:hAnsiTheme="majorBidi" w:cstheme="majorBidi" w:hint="cs"/>
          <w:sz w:val="32"/>
          <w:szCs w:val="32"/>
          <w:rtl/>
        </w:rPr>
        <w:t>עובר</w:t>
      </w:r>
      <w:r w:rsidR="0014579D">
        <w:rPr>
          <w:rFonts w:asciiTheme="majorBidi" w:hAnsiTheme="majorBidi" w:cstheme="majorBidi" w:hint="cs"/>
          <w:sz w:val="32"/>
          <w:szCs w:val="32"/>
          <w:rtl/>
        </w:rPr>
        <w:t>,</w:t>
      </w:r>
      <w:r w:rsidR="00020E01">
        <w:rPr>
          <w:rFonts w:asciiTheme="majorBidi" w:hAnsiTheme="majorBidi" w:cstheme="majorBidi" w:hint="cs"/>
          <w:sz w:val="32"/>
          <w:szCs w:val="32"/>
          <w:rtl/>
        </w:rPr>
        <w:t xml:space="preserve"> ו</w:t>
      </w:r>
      <w:r w:rsidR="0014579D">
        <w:rPr>
          <w:rFonts w:asciiTheme="majorBidi" w:hAnsiTheme="majorBidi" w:cstheme="majorBidi" w:hint="cs"/>
          <w:sz w:val="32"/>
          <w:szCs w:val="32"/>
          <w:rtl/>
        </w:rPr>
        <w:t xml:space="preserve">מה הדין </w:t>
      </w:r>
      <w:r w:rsidR="00020E01">
        <w:rPr>
          <w:rFonts w:asciiTheme="majorBidi" w:hAnsiTheme="majorBidi" w:cstheme="majorBidi" w:hint="cs"/>
          <w:sz w:val="32"/>
          <w:szCs w:val="32"/>
          <w:rtl/>
        </w:rPr>
        <w:t xml:space="preserve">בשביעית. 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BD6CF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1703B4">
        <w:rPr>
          <w:rFonts w:asciiTheme="majorBidi" w:hAnsiTheme="majorBidi" w:cstheme="majorBidi" w:hint="cs"/>
          <w:sz w:val="32"/>
          <w:szCs w:val="32"/>
          <w:rtl/>
        </w:rPr>
        <w:t>באלו אופנים מודה רבי אלעזר בן עזריה שמותר לעשות אמ</w:t>
      </w:r>
      <w:r w:rsidR="00BD6CF6">
        <w:rPr>
          <w:rFonts w:asciiTheme="majorBidi" w:hAnsiTheme="majorBidi" w:cstheme="majorBidi" w:hint="cs"/>
          <w:sz w:val="32"/>
          <w:szCs w:val="32"/>
          <w:rtl/>
        </w:rPr>
        <w:t xml:space="preserve">ת </w:t>
      </w:r>
      <w:r w:rsidR="001703B4">
        <w:rPr>
          <w:rFonts w:asciiTheme="majorBidi" w:hAnsiTheme="majorBidi" w:cstheme="majorBidi" w:hint="cs"/>
          <w:sz w:val="32"/>
          <w:szCs w:val="32"/>
          <w:rtl/>
        </w:rPr>
        <w:t>ה</w:t>
      </w:r>
      <w:r w:rsidR="00BD6CF6">
        <w:rPr>
          <w:rFonts w:asciiTheme="majorBidi" w:hAnsiTheme="majorBidi" w:cstheme="majorBidi" w:hint="cs"/>
          <w:sz w:val="32"/>
          <w:szCs w:val="32"/>
          <w:rtl/>
        </w:rPr>
        <w:t>מים</w:t>
      </w:r>
      <w:bookmarkStart w:id="0" w:name="_GoBack"/>
      <w:bookmarkEnd w:id="0"/>
      <w:r w:rsidR="001703B4">
        <w:rPr>
          <w:rFonts w:asciiTheme="majorBidi" w:hAnsiTheme="majorBidi" w:cstheme="majorBidi" w:hint="cs"/>
          <w:sz w:val="32"/>
          <w:szCs w:val="32"/>
          <w:rtl/>
        </w:rPr>
        <w:t xml:space="preserve"> בשביעית.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14579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1703B4">
        <w:rPr>
          <w:rFonts w:asciiTheme="majorBidi" w:hAnsiTheme="majorBidi" w:cstheme="majorBidi" w:hint="cs"/>
          <w:sz w:val="32"/>
          <w:szCs w:val="32"/>
          <w:rtl/>
        </w:rPr>
        <w:t xml:space="preserve">איזה </w:t>
      </w:r>
      <w:r w:rsidR="0014579D">
        <w:rPr>
          <w:rFonts w:asciiTheme="majorBidi" w:hAnsiTheme="majorBidi" w:cstheme="majorBidi" w:hint="cs"/>
          <w:sz w:val="32"/>
          <w:szCs w:val="32"/>
          <w:rtl/>
        </w:rPr>
        <w:t>שדה</w:t>
      </w:r>
      <w:r w:rsidR="001703B4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14579D">
        <w:rPr>
          <w:rFonts w:asciiTheme="majorBidi" w:hAnsiTheme="majorBidi" w:cstheme="majorBidi" w:hint="cs"/>
          <w:sz w:val="32"/>
          <w:szCs w:val="32"/>
          <w:rtl/>
        </w:rPr>
        <w:t xml:space="preserve">בית הבעל </w:t>
      </w:r>
      <w:r w:rsidR="001703B4">
        <w:rPr>
          <w:rFonts w:asciiTheme="majorBidi" w:hAnsiTheme="majorBidi" w:cstheme="majorBidi" w:hint="cs"/>
          <w:sz w:val="32"/>
          <w:szCs w:val="32"/>
          <w:rtl/>
        </w:rPr>
        <w:t>מודה רבי אליעזר בן יעקב שמותר להשקותה</w:t>
      </w:r>
      <w:r w:rsidR="0014579D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14579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EA498A">
        <w:rPr>
          <w:rFonts w:asciiTheme="majorBidi" w:hAnsiTheme="majorBidi" w:cstheme="majorBidi" w:hint="cs"/>
          <w:sz w:val="32"/>
          <w:szCs w:val="32"/>
          <w:rtl/>
        </w:rPr>
        <w:t>האם ממתינים מלראות נגע שבאדם לצורך דבר הרשות.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14579D">
        <w:rPr>
          <w:rFonts w:asciiTheme="majorBidi" w:hAnsiTheme="majorBidi" w:cstheme="majorBidi" w:hint="cs"/>
          <w:sz w:val="32"/>
          <w:szCs w:val="32"/>
          <w:rtl/>
        </w:rPr>
        <w:t>האם מותר לסרג את המטה שתי וערב או שתי בלא ערב, או למתוח אם היה החבל רפוי.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B05D7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B05D7A">
        <w:rPr>
          <w:rFonts w:asciiTheme="majorBidi" w:hAnsiTheme="majorBidi" w:cstheme="majorBidi" w:hint="cs"/>
          <w:sz w:val="32"/>
          <w:szCs w:val="32"/>
          <w:rtl/>
        </w:rPr>
        <w:t>מי שכוון מלאכתו במועד או שזיבל שדהו בשביעית ומת, האם קנסו את בנו שלא יהנה מהם.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B05D7A">
        <w:rPr>
          <w:rFonts w:asciiTheme="majorBidi" w:hAnsiTheme="majorBidi" w:cstheme="majorBidi" w:hint="cs"/>
          <w:sz w:val="32"/>
          <w:szCs w:val="32"/>
          <w:rtl/>
        </w:rPr>
        <w:t>האם אבל, מנודה ומצורע אסורים בשאלת שלום.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BD4F8A" w:rsidRPr="00BD4F8A" w:rsidRDefault="00BD4F8A" w:rsidP="00BD4F8A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BD4F8A">
        <w:rPr>
          <w:rFonts w:asciiTheme="majorBidi" w:hAnsiTheme="majorBidi" w:cstheme="majorBidi" w:hint="cs"/>
          <w:sz w:val="32"/>
          <w:szCs w:val="32"/>
          <w:rtl/>
        </w:rPr>
        <w:t>המבחן הבא על מועד קטן טו: - כט. יתקיים בס"ד ביום חמישי ט' אדר א'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987EA6" w:rsidRPr="003425C1" w:rsidRDefault="00987EA6" w:rsidP="00FD3D5E">
      <w:pPr>
        <w:rPr>
          <w:sz w:val="24"/>
          <w:szCs w:val="24"/>
          <w:rtl/>
        </w:rPr>
      </w:pPr>
      <w:r w:rsidRPr="003425C1">
        <w:rPr>
          <w:rFonts w:hint="cs"/>
          <w:sz w:val="24"/>
          <w:szCs w:val="24"/>
          <w:rtl/>
        </w:rPr>
        <w:t xml:space="preserve">א. </w:t>
      </w:r>
      <w:r w:rsidR="0014579D" w:rsidRPr="003425C1">
        <w:rPr>
          <w:rFonts w:hint="cs"/>
          <w:sz w:val="24"/>
          <w:szCs w:val="24"/>
          <w:rtl/>
        </w:rPr>
        <w:t>לרבה משום חורש ולרב יוסף משום זורע.</w:t>
      </w:r>
      <w:r w:rsidR="00020E01" w:rsidRPr="003425C1">
        <w:rPr>
          <w:rFonts w:hint="cs"/>
          <w:sz w:val="24"/>
          <w:szCs w:val="24"/>
          <w:rtl/>
        </w:rPr>
        <w:t xml:space="preserve"> ו</w:t>
      </w:r>
      <w:r w:rsidR="0014579D" w:rsidRPr="003425C1">
        <w:rPr>
          <w:rFonts w:hint="cs"/>
          <w:sz w:val="24"/>
          <w:szCs w:val="24"/>
          <w:rtl/>
        </w:rPr>
        <w:t>בשביעית</w:t>
      </w:r>
      <w:r w:rsidR="00FD3D5E" w:rsidRPr="00FD3D5E">
        <w:rPr>
          <w:rFonts w:hint="cs"/>
          <w:sz w:val="24"/>
          <w:szCs w:val="24"/>
          <w:rtl/>
        </w:rPr>
        <w:t xml:space="preserve"> </w:t>
      </w:r>
      <w:r w:rsidR="00FD3D5E">
        <w:rPr>
          <w:rFonts w:hint="cs"/>
          <w:sz w:val="24"/>
          <w:szCs w:val="24"/>
          <w:rtl/>
        </w:rPr>
        <w:t>מותר במקום פסידא</w:t>
      </w:r>
      <w:r w:rsidR="0014579D" w:rsidRPr="003425C1">
        <w:rPr>
          <w:rFonts w:hint="cs"/>
          <w:sz w:val="24"/>
          <w:szCs w:val="24"/>
          <w:rtl/>
        </w:rPr>
        <w:t xml:space="preserve">, </w:t>
      </w:r>
      <w:r w:rsidR="00020E01" w:rsidRPr="003425C1">
        <w:rPr>
          <w:rFonts w:hint="cs"/>
          <w:sz w:val="24"/>
          <w:szCs w:val="24"/>
          <w:rtl/>
        </w:rPr>
        <w:t xml:space="preserve">לאביי </w:t>
      </w:r>
      <w:r w:rsidR="00FD3D5E">
        <w:rPr>
          <w:rFonts w:hint="cs"/>
          <w:sz w:val="24"/>
          <w:szCs w:val="24"/>
          <w:rtl/>
        </w:rPr>
        <w:t>ההיתר רק</w:t>
      </w:r>
      <w:r w:rsidR="00020E01" w:rsidRPr="003425C1">
        <w:rPr>
          <w:rFonts w:hint="cs"/>
          <w:sz w:val="24"/>
          <w:szCs w:val="24"/>
          <w:rtl/>
        </w:rPr>
        <w:t xml:space="preserve"> בשביעית ד</w:t>
      </w:r>
      <w:r w:rsidR="00FD3D5E">
        <w:rPr>
          <w:rFonts w:hint="cs"/>
          <w:sz w:val="24"/>
          <w:szCs w:val="24"/>
          <w:rtl/>
        </w:rPr>
        <w:t>רבנן, ולרבא בכל גווני השקאה בשביעית אסורה רק מדרבנן.</w:t>
      </w:r>
    </w:p>
    <w:p w:rsidR="00484BB2" w:rsidRPr="003425C1" w:rsidRDefault="001703B4" w:rsidP="00484BB2">
      <w:pPr>
        <w:rPr>
          <w:sz w:val="24"/>
          <w:szCs w:val="24"/>
          <w:rtl/>
        </w:rPr>
      </w:pPr>
      <w:r w:rsidRPr="003425C1">
        <w:rPr>
          <w:rFonts w:hint="cs"/>
          <w:sz w:val="24"/>
          <w:szCs w:val="24"/>
          <w:rtl/>
        </w:rPr>
        <w:t xml:space="preserve">ב. אם משליך </w:t>
      </w:r>
      <w:r w:rsidR="003926CF">
        <w:rPr>
          <w:rFonts w:hint="cs"/>
          <w:sz w:val="24"/>
          <w:szCs w:val="24"/>
          <w:rtl/>
        </w:rPr>
        <w:t xml:space="preserve">את </w:t>
      </w:r>
      <w:r w:rsidRPr="003425C1">
        <w:rPr>
          <w:rFonts w:hint="cs"/>
          <w:sz w:val="24"/>
          <w:szCs w:val="24"/>
          <w:rtl/>
        </w:rPr>
        <w:t xml:space="preserve">העפר לחוץ, למ"ד מפני שנראה כעודר אסור ולמ"ד מפני שמכשיר אגפיה לזריעה מותר, [דס"ל דמשום שנראה כעודר ליכא שהיה לו להשליך </w:t>
      </w:r>
      <w:r w:rsidR="003926CF">
        <w:rPr>
          <w:rFonts w:hint="cs"/>
          <w:sz w:val="24"/>
          <w:szCs w:val="24"/>
          <w:rtl/>
        </w:rPr>
        <w:t xml:space="preserve">את </w:t>
      </w:r>
      <w:r w:rsidRPr="003425C1">
        <w:rPr>
          <w:rFonts w:hint="cs"/>
          <w:sz w:val="24"/>
          <w:szCs w:val="24"/>
          <w:rtl/>
        </w:rPr>
        <w:t xml:space="preserve">העפר במקומו]. </w:t>
      </w:r>
    </w:p>
    <w:p w:rsidR="001703B4" w:rsidRPr="003425C1" w:rsidRDefault="001703B4" w:rsidP="00FD200D">
      <w:pPr>
        <w:rPr>
          <w:sz w:val="24"/>
          <w:szCs w:val="24"/>
          <w:rtl/>
        </w:rPr>
      </w:pPr>
      <w:r w:rsidRPr="003425C1">
        <w:rPr>
          <w:rFonts w:hint="cs"/>
          <w:sz w:val="24"/>
          <w:szCs w:val="24"/>
          <w:rtl/>
        </w:rPr>
        <w:t xml:space="preserve">וכן </w:t>
      </w:r>
      <w:r w:rsidR="00484BB2" w:rsidRPr="003425C1">
        <w:rPr>
          <w:rFonts w:hint="cs"/>
          <w:sz w:val="24"/>
          <w:szCs w:val="24"/>
          <w:rtl/>
        </w:rPr>
        <w:t xml:space="preserve">יש </w:t>
      </w:r>
      <w:r w:rsidR="00FD200D">
        <w:rPr>
          <w:rFonts w:hint="cs"/>
          <w:sz w:val="24"/>
          <w:szCs w:val="24"/>
          <w:rtl/>
        </w:rPr>
        <w:t xml:space="preserve">עוד </w:t>
      </w:r>
      <w:r w:rsidR="00484BB2" w:rsidRPr="003425C1">
        <w:rPr>
          <w:rFonts w:hint="cs"/>
          <w:sz w:val="24"/>
          <w:szCs w:val="24"/>
          <w:rtl/>
        </w:rPr>
        <w:t>היתר בדבר, באופן שהעמיק ג' טפחים קודם שביעית, או</w:t>
      </w:r>
      <w:r w:rsidRPr="003425C1">
        <w:rPr>
          <w:rFonts w:hint="cs"/>
          <w:sz w:val="24"/>
          <w:szCs w:val="24"/>
          <w:rtl/>
        </w:rPr>
        <w:t xml:space="preserve"> </w:t>
      </w:r>
      <w:r w:rsidR="00484BB2" w:rsidRPr="003425C1">
        <w:rPr>
          <w:rFonts w:hint="cs"/>
          <w:sz w:val="24"/>
          <w:szCs w:val="24"/>
          <w:rtl/>
        </w:rPr>
        <w:t>באופן ש</w:t>
      </w:r>
      <w:r w:rsidRPr="003425C1">
        <w:rPr>
          <w:rFonts w:hint="cs"/>
          <w:sz w:val="24"/>
          <w:szCs w:val="24"/>
          <w:rtl/>
        </w:rPr>
        <w:t>מניח שם זבל</w:t>
      </w:r>
      <w:r w:rsidR="00350CCC">
        <w:rPr>
          <w:rFonts w:hint="cs"/>
          <w:sz w:val="24"/>
          <w:szCs w:val="24"/>
          <w:rtl/>
        </w:rPr>
        <w:t>, שאז</w:t>
      </w:r>
      <w:r w:rsidRPr="003425C1">
        <w:rPr>
          <w:rFonts w:hint="cs"/>
          <w:sz w:val="24"/>
          <w:szCs w:val="24"/>
          <w:rtl/>
        </w:rPr>
        <w:t xml:space="preserve"> זבלו מוכיח עליו שאין כוונתו לעדור שם.</w:t>
      </w:r>
    </w:p>
    <w:p w:rsidR="001703B4" w:rsidRPr="003425C1" w:rsidRDefault="001703B4" w:rsidP="0014579D">
      <w:pPr>
        <w:rPr>
          <w:sz w:val="24"/>
          <w:szCs w:val="24"/>
          <w:rtl/>
        </w:rPr>
      </w:pPr>
      <w:r w:rsidRPr="003425C1">
        <w:rPr>
          <w:rFonts w:hint="cs"/>
          <w:sz w:val="24"/>
          <w:szCs w:val="24"/>
          <w:rtl/>
        </w:rPr>
        <w:t xml:space="preserve">ג. אם </w:t>
      </w:r>
      <w:r w:rsidR="0014579D" w:rsidRPr="003425C1">
        <w:rPr>
          <w:rFonts w:hint="cs"/>
          <w:sz w:val="24"/>
          <w:szCs w:val="24"/>
          <w:rtl/>
        </w:rPr>
        <w:t>היתה שדה מטוננת [לחה והתייבשה]</w:t>
      </w:r>
      <w:r w:rsidRPr="003425C1">
        <w:rPr>
          <w:rFonts w:hint="cs"/>
          <w:sz w:val="24"/>
          <w:szCs w:val="24"/>
          <w:rtl/>
        </w:rPr>
        <w:t xml:space="preserve">, כיון </w:t>
      </w:r>
      <w:r w:rsidR="0014579D" w:rsidRPr="003425C1">
        <w:rPr>
          <w:rFonts w:hint="cs"/>
          <w:sz w:val="24"/>
          <w:szCs w:val="24"/>
          <w:rtl/>
        </w:rPr>
        <w:t>ד</w:t>
      </w:r>
      <w:r w:rsidRPr="003425C1">
        <w:rPr>
          <w:rFonts w:hint="cs"/>
          <w:sz w:val="24"/>
          <w:szCs w:val="24"/>
          <w:rtl/>
        </w:rPr>
        <w:t xml:space="preserve">לא הוי </w:t>
      </w:r>
      <w:r w:rsidR="0014579D" w:rsidRPr="003425C1">
        <w:rPr>
          <w:rFonts w:hint="cs"/>
          <w:sz w:val="24"/>
          <w:szCs w:val="24"/>
          <w:rtl/>
        </w:rPr>
        <w:t>ל</w:t>
      </w:r>
      <w:r w:rsidRPr="003425C1">
        <w:rPr>
          <w:rFonts w:hint="cs"/>
          <w:sz w:val="24"/>
          <w:szCs w:val="24"/>
          <w:rtl/>
        </w:rPr>
        <w:t>הרווחה בעלמא אלא פסידא.</w:t>
      </w:r>
    </w:p>
    <w:p w:rsidR="001703B4" w:rsidRPr="003425C1" w:rsidRDefault="001703B4" w:rsidP="006E1091">
      <w:pPr>
        <w:rPr>
          <w:sz w:val="24"/>
          <w:szCs w:val="24"/>
          <w:rtl/>
        </w:rPr>
      </w:pPr>
      <w:r w:rsidRPr="003425C1">
        <w:rPr>
          <w:rFonts w:hint="cs"/>
          <w:sz w:val="24"/>
          <w:szCs w:val="24"/>
          <w:rtl/>
        </w:rPr>
        <w:t>ד.</w:t>
      </w:r>
      <w:r w:rsidR="00EA498A" w:rsidRPr="003425C1">
        <w:rPr>
          <w:rFonts w:hint="cs"/>
          <w:sz w:val="24"/>
          <w:szCs w:val="24"/>
          <w:rtl/>
        </w:rPr>
        <w:t xml:space="preserve"> </w:t>
      </w:r>
      <w:r w:rsidR="006E1091">
        <w:rPr>
          <w:rFonts w:hint="cs"/>
          <w:sz w:val="24"/>
          <w:szCs w:val="24"/>
          <w:rtl/>
        </w:rPr>
        <w:t>לרבי ממתינין באדם לדבר הרשות כמו בנגע בבית, ולאביי גם רבי יהודה לא נחלק בזה. אך לרבא בדעת רבי יהודה אין ממתינין לראות נגע באדם לצורך דבר הרשות.</w:t>
      </w:r>
    </w:p>
    <w:p w:rsidR="00EA498A" w:rsidRPr="003425C1" w:rsidRDefault="0014579D" w:rsidP="0014579D">
      <w:pPr>
        <w:rPr>
          <w:sz w:val="24"/>
          <w:szCs w:val="24"/>
          <w:rtl/>
        </w:rPr>
      </w:pPr>
      <w:r w:rsidRPr="003425C1">
        <w:rPr>
          <w:rFonts w:hint="cs"/>
          <w:sz w:val="24"/>
          <w:szCs w:val="24"/>
          <w:rtl/>
        </w:rPr>
        <w:t>ה. לת"ק מותר שתי וערב [ולא אסור אלא להפשיל חבלים לכתחילה]. לרבי יוסי לחד מ"ד מותר שתי בלא ערב ולחד מ"ד רק למתוח אם היה רפוי. ולדעת י"א בברייתא, אפי' מה שהתיר רבי יוסי אסור.</w:t>
      </w:r>
    </w:p>
    <w:p w:rsidR="0014579D" w:rsidRPr="003425C1" w:rsidRDefault="0014579D" w:rsidP="0014579D">
      <w:pPr>
        <w:rPr>
          <w:sz w:val="24"/>
          <w:szCs w:val="24"/>
          <w:rtl/>
        </w:rPr>
      </w:pPr>
      <w:r w:rsidRPr="003425C1">
        <w:rPr>
          <w:rFonts w:hint="cs"/>
          <w:sz w:val="24"/>
          <w:szCs w:val="24"/>
          <w:rtl/>
        </w:rPr>
        <w:t>ו.</w:t>
      </w:r>
      <w:r w:rsidR="00B05D7A" w:rsidRPr="003425C1">
        <w:rPr>
          <w:rFonts w:hint="cs"/>
          <w:sz w:val="24"/>
          <w:szCs w:val="24"/>
          <w:rtl/>
        </w:rPr>
        <w:t xml:space="preserve"> למסקנא לא קנסו.</w:t>
      </w:r>
    </w:p>
    <w:p w:rsidR="001703B4" w:rsidRPr="003425C1" w:rsidRDefault="00B05D7A" w:rsidP="003425C1">
      <w:pPr>
        <w:rPr>
          <w:sz w:val="24"/>
          <w:szCs w:val="24"/>
        </w:rPr>
      </w:pPr>
      <w:r w:rsidRPr="003425C1">
        <w:rPr>
          <w:rFonts w:hint="cs"/>
          <w:sz w:val="24"/>
          <w:szCs w:val="24"/>
          <w:rtl/>
        </w:rPr>
        <w:t>ז. אבל ומצורע אסורים, מנודה ספק בגמ'.</w:t>
      </w:r>
    </w:p>
    <w:sectPr w:rsidR="001703B4" w:rsidRPr="003425C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32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20E01"/>
    <w:rsid w:val="00142B29"/>
    <w:rsid w:val="0014579D"/>
    <w:rsid w:val="00152DA1"/>
    <w:rsid w:val="001703B4"/>
    <w:rsid w:val="003425C1"/>
    <w:rsid w:val="00350CCC"/>
    <w:rsid w:val="003926CF"/>
    <w:rsid w:val="003D1E60"/>
    <w:rsid w:val="004049B1"/>
    <w:rsid w:val="00474EB0"/>
    <w:rsid w:val="00481985"/>
    <w:rsid w:val="00484BB2"/>
    <w:rsid w:val="006E1091"/>
    <w:rsid w:val="007636FD"/>
    <w:rsid w:val="007A2E33"/>
    <w:rsid w:val="007D2B31"/>
    <w:rsid w:val="00884D09"/>
    <w:rsid w:val="008A335F"/>
    <w:rsid w:val="00987EA6"/>
    <w:rsid w:val="009A7C14"/>
    <w:rsid w:val="00A17AA7"/>
    <w:rsid w:val="00A448C4"/>
    <w:rsid w:val="00B05D7A"/>
    <w:rsid w:val="00BD4F8A"/>
    <w:rsid w:val="00BD6CF6"/>
    <w:rsid w:val="00D11889"/>
    <w:rsid w:val="00E33E07"/>
    <w:rsid w:val="00EA498A"/>
    <w:rsid w:val="00EF2A0C"/>
    <w:rsid w:val="00FD200D"/>
    <w:rsid w:val="00FD3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DE15D"/>
  <w15:docId w15:val="{B5345850-CF20-43A5-BA6F-18AEE7F39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361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‏‏משתמש Windows</cp:lastModifiedBy>
  <cp:revision>18</cp:revision>
  <dcterms:created xsi:type="dcterms:W3CDTF">2022-01-23T07:22:00Z</dcterms:created>
  <dcterms:modified xsi:type="dcterms:W3CDTF">2022-02-28T14:36:00Z</dcterms:modified>
</cp:coreProperties>
</file>