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77777777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16D18D3" w:rsidR="006B1A10" w:rsidRPr="007D448B" w:rsidRDefault="002E23C3" w:rsidP="00D3350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6F6C223E" w14:textId="206C2513" w:rsidR="001A1777" w:rsidRPr="001A1777" w:rsidRDefault="007D448B" w:rsidP="001A177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1A1777" w:rsidRPr="001A1777">
        <w:rPr>
          <w:rFonts w:ascii="Times New Roman" w:eastAsia="Calibri" w:hAnsi="Times New Roman" w:cs="Times New Roman" w:hint="cs"/>
          <w:sz w:val="32"/>
          <w:szCs w:val="32"/>
          <w:rtl/>
        </w:rPr>
        <w:t>מכירה שיש בה שיור</w:t>
      </w:r>
      <w:r w:rsidR="00CF7161">
        <w:rPr>
          <w:rFonts w:ascii="Times New Roman" w:eastAsia="Calibri" w:hAnsi="Times New Roman" w:cs="Times New Roman" w:hint="cs"/>
          <w:sz w:val="32"/>
          <w:szCs w:val="32"/>
          <w:rtl/>
        </w:rPr>
        <w:t>, האם</w:t>
      </w:r>
      <w:r w:rsidR="001A1777" w:rsidRPr="001A177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חייבי</w:t>
      </w:r>
      <w:r w:rsidR="00CF7161">
        <w:rPr>
          <w:rFonts w:ascii="Times New Roman" w:eastAsia="Calibri" w:hAnsi="Times New Roman" w:cs="Times New Roman" w:hint="cs"/>
          <w:sz w:val="32"/>
          <w:szCs w:val="32"/>
          <w:rtl/>
        </w:rPr>
        <w:t>ם</w:t>
      </w:r>
      <w:r w:rsidR="001A1777" w:rsidRPr="001A177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עליה תשלומי </w:t>
      </w:r>
      <w:r w:rsidR="00CF7161">
        <w:rPr>
          <w:rFonts w:ascii="Times New Roman" w:eastAsia="Calibri" w:hAnsi="Times New Roman" w:cs="Times New Roman" w:hint="cs"/>
          <w:sz w:val="32"/>
          <w:szCs w:val="32"/>
          <w:rtl/>
        </w:rPr>
        <w:t>ארבעה וחמשה</w:t>
      </w:r>
      <w:r w:rsidR="001A1777" w:rsidRPr="001A1777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2062BF89" w14:textId="6CB1EE2F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515BE4A" w14:textId="77777777" w:rsidR="001A1777" w:rsidRPr="001A1777" w:rsidRDefault="00A45CB0" w:rsidP="001A177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1A1777" w:rsidRPr="001A1777">
        <w:rPr>
          <w:rFonts w:ascii="Times New Roman" w:eastAsia="Calibri" w:hAnsi="Times New Roman" w:cs="Times New Roman" w:hint="cs"/>
          <w:sz w:val="32"/>
          <w:szCs w:val="32"/>
          <w:rtl/>
        </w:rPr>
        <w:t>האם ובאיזה אופן מותר לאדם שיהיה לו בהמה דקה בארץ ישראל.</w:t>
      </w:r>
    </w:p>
    <w:p w14:paraId="075AB7BA" w14:textId="4E31E5CA" w:rsidR="00A45CB0" w:rsidRPr="00A45CB0" w:rsidRDefault="00A45CB0" w:rsidP="002A67A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E46FC97" w14:textId="394B223D" w:rsidR="007D448B" w:rsidRPr="007D448B" w:rsidRDefault="00A45CB0" w:rsidP="00367138">
      <w:pPr>
        <w:spacing w:after="0" w:line="276" w:lineRule="auto"/>
        <w:jc w:val="left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)</w:t>
      </w:r>
      <w:r w:rsidR="0036713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מי תיקן שיקראו בתורה בשני ובחמישי, משה או עזרא.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C5CD3AC" w14:textId="57CF4187" w:rsidR="002A67AA" w:rsidRPr="00D3089C" w:rsidRDefault="002C0B8B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2A67AA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A67AA">
        <w:rPr>
          <w:rFonts w:asciiTheme="majorBidi" w:hAnsiTheme="majorBidi" w:cstheme="majorBidi" w:hint="cs"/>
          <w:sz w:val="32"/>
          <w:szCs w:val="32"/>
          <w:rtl/>
        </w:rPr>
        <w:t>שור שהזיק בקרן או בשן ורגל, האם מגבים את הנזק בבבל.</w:t>
      </w:r>
    </w:p>
    <w:p w14:paraId="70315DCD" w14:textId="77777777" w:rsidR="002A67AA" w:rsidRPr="00D3089C" w:rsidRDefault="002A67AA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E86607" w14:textId="57402A77" w:rsidR="002A67AA" w:rsidRPr="00D3089C" w:rsidRDefault="002C0B8B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2A67AA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2A67AA">
        <w:rPr>
          <w:rFonts w:asciiTheme="majorBidi" w:hAnsiTheme="majorBidi" w:cstheme="majorBidi" w:hint="cs"/>
          <w:sz w:val="32"/>
          <w:szCs w:val="32"/>
          <w:rtl/>
        </w:rPr>
        <w:t xml:space="preserve"> האם יש חיוב בושת במי שבייש חרש שוטה וקטן.</w:t>
      </w:r>
    </w:p>
    <w:p w14:paraId="5E9EEB64" w14:textId="77777777" w:rsidR="002A67AA" w:rsidRPr="00D3089C" w:rsidRDefault="002A67AA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1B934CC" w14:textId="79490272" w:rsidR="002A67AA" w:rsidRPr="00D3089C" w:rsidRDefault="001A1777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2A67AA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A67AA">
        <w:rPr>
          <w:rFonts w:asciiTheme="majorBidi" w:hAnsiTheme="majorBidi" w:cstheme="majorBidi" w:hint="cs"/>
          <w:sz w:val="32"/>
          <w:szCs w:val="32"/>
          <w:rtl/>
        </w:rPr>
        <w:t>החובל בבנו ובתו הגדולים, האם משלם להם נזק.</w:t>
      </w:r>
    </w:p>
    <w:p w14:paraId="092B24F1" w14:textId="77777777" w:rsidR="002A67AA" w:rsidRPr="00D3089C" w:rsidRDefault="002A67AA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734F92E" w14:textId="4DA06FD6" w:rsidR="002A67AA" w:rsidRPr="00D3089C" w:rsidRDefault="001A1777" w:rsidP="002A67AA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2A67AA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2A67AA">
        <w:rPr>
          <w:rFonts w:asciiTheme="majorBidi" w:hAnsiTheme="majorBidi" w:cstheme="majorBidi" w:hint="cs"/>
          <w:sz w:val="32"/>
          <w:szCs w:val="32"/>
          <w:rtl/>
        </w:rPr>
        <w:t>בי"ד שראו אדם שה</w:t>
      </w:r>
      <w:r w:rsidR="00991B85">
        <w:rPr>
          <w:rFonts w:asciiTheme="majorBidi" w:hAnsiTheme="majorBidi" w:cstheme="majorBidi" w:hint="cs"/>
          <w:sz w:val="32"/>
          <w:szCs w:val="32"/>
          <w:rtl/>
        </w:rPr>
        <w:t>רג</w:t>
      </w:r>
      <w:r w:rsidR="002A67AA">
        <w:rPr>
          <w:rFonts w:asciiTheme="majorBidi" w:hAnsiTheme="majorBidi" w:cstheme="majorBidi" w:hint="cs"/>
          <w:sz w:val="32"/>
          <w:szCs w:val="32"/>
          <w:rtl/>
        </w:rPr>
        <w:t xml:space="preserve"> את חבירו, האם יכולים לדון על פי ראייתם.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2479FCF8" w14:textId="27DB1EA8" w:rsidR="00A45CB0" w:rsidRPr="00A45CB0" w:rsidRDefault="002E23C3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קמא צא: - קה: יתקיים בס"ד ביום חמישי ו' אדר א'</w:t>
      </w:r>
    </w:p>
    <w:p w14:paraId="76EA85F7" w14:textId="77777777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88EF82D" w14:textId="7777777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7940236B" w14:textId="1EB50E0F" w:rsidR="001A1777" w:rsidRPr="001A1777" w:rsidRDefault="001A1777" w:rsidP="001A177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Pr="001A1777">
        <w:rPr>
          <w:rFonts w:ascii="Calibri" w:eastAsia="Calibri" w:hAnsi="Calibri" w:hint="cs"/>
          <w:sz w:val="24"/>
          <w:szCs w:val="24"/>
          <w:rtl/>
        </w:rPr>
        <w:t>לת"ק פטור</w:t>
      </w:r>
      <w:r w:rsidR="0080340C">
        <w:rPr>
          <w:rFonts w:ascii="Calibri" w:eastAsia="Calibri" w:hAnsi="Calibri" w:hint="cs"/>
          <w:sz w:val="24"/>
          <w:szCs w:val="24"/>
          <w:rtl/>
        </w:rPr>
        <w:t>, וכן דעת לוי</w:t>
      </w:r>
      <w:r w:rsidRPr="001A1777">
        <w:rPr>
          <w:rFonts w:ascii="Calibri" w:eastAsia="Calibri" w:hAnsi="Calibri" w:hint="cs"/>
          <w:sz w:val="24"/>
          <w:szCs w:val="24"/>
          <w:rtl/>
        </w:rPr>
        <w:t xml:space="preserve">. לרשב"א </w:t>
      </w:r>
      <w:r w:rsidR="00CF7161">
        <w:rPr>
          <w:rFonts w:ascii="Calibri" w:eastAsia="Calibri" w:hAnsi="Calibri" w:hint="cs"/>
          <w:sz w:val="24"/>
          <w:szCs w:val="24"/>
          <w:rtl/>
        </w:rPr>
        <w:t xml:space="preserve">רק שיור </w:t>
      </w:r>
      <w:r w:rsidRPr="001A1777">
        <w:rPr>
          <w:rFonts w:ascii="Calibri" w:eastAsia="Calibri" w:hAnsi="Calibri" w:hint="cs"/>
          <w:sz w:val="24"/>
          <w:szCs w:val="24"/>
          <w:rtl/>
        </w:rPr>
        <w:t>יד או רגל פוטרים</w:t>
      </w:r>
      <w:r w:rsidR="00CF7161">
        <w:rPr>
          <w:rFonts w:ascii="Calibri" w:eastAsia="Calibri" w:hAnsi="Calibri" w:hint="cs"/>
          <w:sz w:val="24"/>
          <w:szCs w:val="24"/>
          <w:rtl/>
        </w:rPr>
        <w:t>, ויש תנא בדעתו שגם</w:t>
      </w:r>
      <w:r w:rsidRPr="001A1777">
        <w:rPr>
          <w:rFonts w:ascii="Calibri" w:eastAsia="Calibri" w:hAnsi="Calibri" w:hint="cs"/>
          <w:sz w:val="24"/>
          <w:szCs w:val="24"/>
          <w:rtl/>
        </w:rPr>
        <w:t xml:space="preserve"> קרנה פוטר. לרבי רק דבר שחסרונו מחשיב את הבהמה לנבילה</w:t>
      </w:r>
      <w:r w:rsidR="00D830BE">
        <w:rPr>
          <w:rFonts w:ascii="Calibri" w:eastAsia="Calibri" w:hAnsi="Calibri" w:hint="cs"/>
          <w:sz w:val="24"/>
          <w:szCs w:val="24"/>
          <w:rtl/>
        </w:rPr>
        <w:t xml:space="preserve"> (כגון ושט, קנה, ירך, כבד וכיו"ב)</w:t>
      </w:r>
      <w:r w:rsidRPr="001A1777">
        <w:rPr>
          <w:rFonts w:ascii="Calibri" w:eastAsia="Calibri" w:hAnsi="Calibri" w:hint="cs"/>
          <w:sz w:val="24"/>
          <w:szCs w:val="24"/>
          <w:rtl/>
        </w:rPr>
        <w:t>.</w:t>
      </w:r>
    </w:p>
    <w:p w14:paraId="2C9BBDC1" w14:textId="4EA93D61" w:rsidR="001A1777" w:rsidRPr="001A1777" w:rsidRDefault="001A1777" w:rsidP="001A177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1A1777">
        <w:rPr>
          <w:rFonts w:ascii="Calibri" w:eastAsia="Calibri" w:hAnsi="Calibri" w:hint="cs"/>
          <w:sz w:val="24"/>
          <w:szCs w:val="24"/>
          <w:rtl/>
        </w:rPr>
        <w:t>עד הרגל והמשתה ויום השוק מותר עד ל' יום. ולר"ג מותר להשהות גם אח"כ עד גמר ל' יום ב</w:t>
      </w:r>
      <w:r w:rsidR="00C053C9">
        <w:rPr>
          <w:rFonts w:ascii="Calibri" w:eastAsia="Calibri" w:hAnsi="Calibri" w:hint="cs"/>
          <w:sz w:val="24"/>
          <w:szCs w:val="24"/>
          <w:rtl/>
        </w:rPr>
        <w:t>תנאי ש</w:t>
      </w:r>
      <w:r w:rsidRPr="001A1777">
        <w:rPr>
          <w:rFonts w:ascii="Calibri" w:eastAsia="Calibri" w:hAnsi="Calibri" w:hint="cs"/>
          <w:sz w:val="24"/>
          <w:szCs w:val="24"/>
          <w:rtl/>
        </w:rPr>
        <w:t>קושרה.</w:t>
      </w:r>
    </w:p>
    <w:p w14:paraId="76EDC7B1" w14:textId="325144AB" w:rsidR="002A67AA" w:rsidRDefault="001906FD" w:rsidP="002A67A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367138">
        <w:rPr>
          <w:rFonts w:ascii="Calibri" w:eastAsia="Calibri" w:hAnsi="Calibri" w:hint="cs"/>
          <w:sz w:val="24"/>
          <w:szCs w:val="24"/>
          <w:rtl/>
        </w:rPr>
        <w:t>משה תיקן שיקראו ג' פסוקים (באדם או או בשלשה בנ"א), ועזרא תיקן שיקראו עשרה פסוקים בשלשה בנ"א.</w:t>
      </w:r>
    </w:p>
    <w:p w14:paraId="5F7EAF03" w14:textId="300870DB" w:rsidR="002A67AA" w:rsidRPr="002A67AA" w:rsidRDefault="001A1777" w:rsidP="002A67A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2A67AA" w:rsidRPr="002A67AA">
        <w:rPr>
          <w:rFonts w:ascii="Calibri" w:eastAsia="Calibri" w:hAnsi="Calibri" w:hint="cs"/>
          <w:sz w:val="24"/>
          <w:szCs w:val="24"/>
          <w:rtl/>
        </w:rPr>
        <w:t xml:space="preserve">. קרן לא מגבים בבבל, כיון שקרן תמה הוי קנסא, ומועדת לא שכיחא, אבל שן ורגל מגבים בבבל. </w:t>
      </w:r>
    </w:p>
    <w:p w14:paraId="1A0CF8E2" w14:textId="3F127B84" w:rsidR="002A67AA" w:rsidRPr="002A67AA" w:rsidRDefault="001A1777" w:rsidP="002A67A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2A67AA" w:rsidRPr="002A67AA">
        <w:rPr>
          <w:rFonts w:ascii="Calibri" w:eastAsia="Calibri" w:hAnsi="Calibri" w:hint="cs"/>
          <w:sz w:val="24"/>
          <w:szCs w:val="24"/>
          <w:rtl/>
        </w:rPr>
        <w:t>. בחרש יש בושת. בשוטה לא. בקטן אם נכלם כשמביישים אותו חייב לשלם.</w:t>
      </w:r>
    </w:p>
    <w:p w14:paraId="7EB4B410" w14:textId="3F3A1687" w:rsidR="002A67AA" w:rsidRPr="002A67AA" w:rsidRDefault="001A1777" w:rsidP="002A67A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2A67AA" w:rsidRPr="002A67AA">
        <w:rPr>
          <w:rFonts w:ascii="Calibri" w:eastAsia="Calibri" w:hAnsi="Calibri" w:hint="cs"/>
          <w:sz w:val="24"/>
          <w:szCs w:val="24"/>
          <w:rtl/>
        </w:rPr>
        <w:t>. אם סמוכים על שולחנו פטור, ואם לאו משלם להם (מיד).</w:t>
      </w:r>
    </w:p>
    <w:p w14:paraId="1FD446EA" w14:textId="7677A01A" w:rsidR="007D448B" w:rsidRPr="007D448B" w:rsidRDefault="001A1777" w:rsidP="0059013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2A67AA" w:rsidRPr="002A67AA">
        <w:rPr>
          <w:rFonts w:ascii="Calibri" w:eastAsia="Calibri" w:hAnsi="Calibri" w:hint="cs"/>
          <w:sz w:val="24"/>
          <w:szCs w:val="24"/>
          <w:rtl/>
        </w:rPr>
        <w:t>. לרבי טרפון אם ראו בלילה חלקם יעידו ביום וחלקם יהיו דיינים, ואם ראו ביום יכולים מיד לדון עפ"י מה שראו. לרבי עקיבא א"א כלל לדון עפ"י ראייתם.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52568A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48B"/>
    <w:rsid w:val="001906FD"/>
    <w:rsid w:val="001A1777"/>
    <w:rsid w:val="001B4845"/>
    <w:rsid w:val="002A67AA"/>
    <w:rsid w:val="002C0B8B"/>
    <w:rsid w:val="002E23C3"/>
    <w:rsid w:val="00367138"/>
    <w:rsid w:val="003940F7"/>
    <w:rsid w:val="003D7BD1"/>
    <w:rsid w:val="003F5021"/>
    <w:rsid w:val="004E2F37"/>
    <w:rsid w:val="0052568A"/>
    <w:rsid w:val="00535D84"/>
    <w:rsid w:val="0059013C"/>
    <w:rsid w:val="006B1A10"/>
    <w:rsid w:val="00741B50"/>
    <w:rsid w:val="007809F0"/>
    <w:rsid w:val="007822C2"/>
    <w:rsid w:val="007D448B"/>
    <w:rsid w:val="0080340C"/>
    <w:rsid w:val="008B3A5B"/>
    <w:rsid w:val="008B5469"/>
    <w:rsid w:val="009470B7"/>
    <w:rsid w:val="00991B85"/>
    <w:rsid w:val="009A280B"/>
    <w:rsid w:val="00A45CB0"/>
    <w:rsid w:val="00B47B7A"/>
    <w:rsid w:val="00B704B8"/>
    <w:rsid w:val="00BA2D44"/>
    <w:rsid w:val="00C053C9"/>
    <w:rsid w:val="00C57659"/>
    <w:rsid w:val="00CF7161"/>
    <w:rsid w:val="00D33501"/>
    <w:rsid w:val="00D806EA"/>
    <w:rsid w:val="00D830BE"/>
    <w:rsid w:val="00E246F7"/>
    <w:rsid w:val="00F0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paragraph" w:styleId="a3">
    <w:name w:val="List Paragraph"/>
    <w:basedOn w:val="a"/>
    <w:uiPriority w:val="34"/>
    <w:qFormat/>
    <w:rsid w:val="001A1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User</cp:lastModifiedBy>
  <cp:revision>13</cp:revision>
  <dcterms:created xsi:type="dcterms:W3CDTF">2024-01-23T07:49:00Z</dcterms:created>
  <dcterms:modified xsi:type="dcterms:W3CDTF">2024-01-30T16:31:00Z</dcterms:modified>
</cp:coreProperties>
</file>