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2EFC07E1" w:rsidR="006B1A10" w:rsidRPr="007D448B" w:rsidRDefault="004F3374" w:rsidP="004F337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סנהדרין כג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לז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2DE9D4DF" w14:textId="77777777" w:rsidR="008D003D" w:rsidRPr="008D003D" w:rsidRDefault="008D003D" w:rsidP="008D00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D003D">
        <w:rPr>
          <w:rFonts w:ascii="Times New Roman" w:eastAsia="Calibri" w:hAnsi="Times New Roman" w:cs="Times New Roman" w:hint="cs"/>
          <w:sz w:val="32"/>
          <w:szCs w:val="32"/>
          <w:rtl/>
        </w:rPr>
        <w:t>א) איזה אדם המשחק בקוביא כשר לעדות, לשיטה אחת.</w:t>
      </w:r>
    </w:p>
    <w:p w14:paraId="7E983DFC" w14:textId="77777777" w:rsidR="008D003D" w:rsidRPr="008D003D" w:rsidRDefault="008D003D" w:rsidP="008D00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D003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18ED79F" w14:textId="77777777" w:rsidR="008D003D" w:rsidRPr="008D003D" w:rsidRDefault="008D003D" w:rsidP="008D00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D003D">
        <w:rPr>
          <w:rFonts w:ascii="Times New Roman" w:eastAsia="Calibri" w:hAnsi="Times New Roman" w:cs="Times New Roman" w:hint="cs"/>
          <w:sz w:val="32"/>
          <w:szCs w:val="32"/>
          <w:rtl/>
        </w:rPr>
        <w:t>ב) האם גזלן ורועה נפסלים לעדות בלי שהכריזו עליהם בבי"ד.</w:t>
      </w:r>
    </w:p>
    <w:p w14:paraId="4FF2B7F7" w14:textId="77777777" w:rsidR="008D003D" w:rsidRPr="008D003D" w:rsidRDefault="008D003D" w:rsidP="008D00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D003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B17646C" w14:textId="08D38257" w:rsidR="008D003D" w:rsidRPr="007D448B" w:rsidRDefault="008D003D" w:rsidP="00E4296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מי שהיה קרוב לחבירו ונתרחק, האם יכול להעיד לו, ומה </w:t>
      </w:r>
      <w:r w:rsidR="00E4296D">
        <w:rPr>
          <w:rFonts w:ascii="Times New Roman" w:eastAsia="Calibri" w:hAnsi="Times New Roman" w:cs="Times New Roman" w:hint="cs"/>
          <w:sz w:val="32"/>
          <w:szCs w:val="32"/>
          <w:rtl/>
        </w:rPr>
        <w:t>נפסק בגמ'</w:t>
      </w:r>
      <w:bookmarkStart w:id="0" w:name="_GoBack"/>
      <w:bookmarkEnd w:id="0"/>
      <w:r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3B743B95" w14:textId="77777777" w:rsidR="008D003D" w:rsidRPr="007D448B" w:rsidRDefault="008D003D" w:rsidP="008D00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D886A54" w14:textId="00470C0C" w:rsidR="008D003D" w:rsidRPr="008D003D" w:rsidRDefault="008D003D" w:rsidP="008D00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8D003D">
        <w:rPr>
          <w:rFonts w:ascii="Times New Roman" w:eastAsia="Calibri" w:hAnsi="Times New Roman" w:cs="Times New Roman" w:hint="cs"/>
          <w:sz w:val="32"/>
          <w:szCs w:val="32"/>
          <w:rtl/>
        </w:rPr>
        <w:t>) הודה בפני שלשה ולא קנו מידו, כותבין שטר הודאה או לא.</w:t>
      </w:r>
    </w:p>
    <w:p w14:paraId="6563EC0F" w14:textId="77777777" w:rsidR="008D003D" w:rsidRPr="008D003D" w:rsidRDefault="008D003D" w:rsidP="008D00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D003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563E998" w14:textId="321F6779" w:rsidR="008D003D" w:rsidRPr="008D003D" w:rsidRDefault="008D003D" w:rsidP="008D00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D003D">
        <w:rPr>
          <w:rFonts w:ascii="Times New Roman" w:eastAsia="Calibri" w:hAnsi="Times New Roman" w:cs="Times New Roman" w:hint="cs"/>
          <w:sz w:val="32"/>
          <w:szCs w:val="32"/>
          <w:rtl/>
        </w:rPr>
        <w:t>) האם הנתבע יכול לכוף את התובע לדון במקום הוועד בעיר אחרת.</w:t>
      </w:r>
    </w:p>
    <w:p w14:paraId="25054682" w14:textId="77777777" w:rsidR="008D003D" w:rsidRPr="008D003D" w:rsidRDefault="008D003D" w:rsidP="008D00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D003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66EBE58" w14:textId="309D4903" w:rsidR="008D003D" w:rsidRPr="008D003D" w:rsidRDefault="008D003D" w:rsidP="008D00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8D003D">
        <w:rPr>
          <w:rFonts w:ascii="Times New Roman" w:eastAsia="Calibri" w:hAnsi="Times New Roman" w:cs="Times New Roman" w:hint="cs"/>
          <w:sz w:val="32"/>
          <w:szCs w:val="32"/>
          <w:rtl/>
        </w:rPr>
        <w:t>) גמרו את הדין בדיני נפשות וראו שטעו, האם מחזירים לזכות ולחובה או לא.</w:t>
      </w:r>
    </w:p>
    <w:p w14:paraId="71891CFE" w14:textId="77777777" w:rsidR="008D003D" w:rsidRPr="008D003D" w:rsidRDefault="008D003D" w:rsidP="008D00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D003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42A331C" w14:textId="5056ECDD" w:rsidR="008D003D" w:rsidRPr="008D003D" w:rsidRDefault="008D003D" w:rsidP="008D00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8D003D">
        <w:rPr>
          <w:rFonts w:ascii="Times New Roman" w:eastAsia="Calibri" w:hAnsi="Times New Roman" w:cs="Times New Roman" w:hint="cs"/>
          <w:sz w:val="32"/>
          <w:szCs w:val="32"/>
          <w:rtl/>
        </w:rPr>
        <w:t>) האם הרב ותלמידו נחשבים במנין הדיינים בדיני תורה כדיין אחד או כשני דיינים.</w:t>
      </w:r>
    </w:p>
    <w:p w14:paraId="09DB0FC6" w14:textId="47A4A0FC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2F3794E0" w14:textId="77777777" w:rsidR="008D003D" w:rsidRDefault="008D003D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סנהדרין לז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נא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ח'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שבט</w:t>
      </w: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t xml:space="preserve"> </w:t>
      </w:r>
    </w:p>
    <w:p w14:paraId="088EF82D" w14:textId="71CBB6FA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1DE2A1EC" w14:textId="77777777" w:rsidR="008D003D" w:rsidRPr="008D003D" w:rsidRDefault="008D003D" w:rsidP="008D003D">
      <w:pPr>
        <w:spacing w:after="0"/>
        <w:rPr>
          <w:rFonts w:ascii="Calibri" w:eastAsia="Calibri" w:hAnsi="Calibri"/>
          <w:sz w:val="24"/>
          <w:szCs w:val="24"/>
        </w:rPr>
      </w:pPr>
      <w:r w:rsidRPr="008D003D">
        <w:rPr>
          <w:rFonts w:ascii="Calibri" w:eastAsia="Calibri" w:hAnsi="Calibri" w:hint="cs"/>
          <w:sz w:val="24"/>
          <w:szCs w:val="24"/>
          <w:rtl/>
        </w:rPr>
        <w:t>א. י"א שאם יש לו אומנות אחרת, כשר.</w:t>
      </w:r>
    </w:p>
    <w:p w14:paraId="1A6A8ED0" w14:textId="77777777" w:rsidR="008D003D" w:rsidRPr="008D003D" w:rsidRDefault="008D003D" w:rsidP="008D003D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D003D">
        <w:rPr>
          <w:rFonts w:ascii="Calibri" w:eastAsia="Calibri" w:hAnsi="Calibri" w:hint="cs"/>
          <w:sz w:val="24"/>
          <w:szCs w:val="24"/>
          <w:rtl/>
        </w:rPr>
        <w:t>ב. גזלן דאורייתא אינו צריך הכרזה, גזלן דרבנן צריך הכרזה. ורועה מחלוקת.</w:t>
      </w:r>
    </w:p>
    <w:p w14:paraId="167DACA1" w14:textId="6A1AB63B" w:rsidR="008D003D" w:rsidRDefault="008D003D" w:rsidP="008D003D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D003D">
        <w:rPr>
          <w:rFonts w:ascii="Calibri" w:eastAsia="Calibri" w:hAnsi="Calibri" w:hint="cs"/>
          <w:sz w:val="24"/>
          <w:szCs w:val="24"/>
          <w:rtl/>
        </w:rPr>
        <w:t xml:space="preserve">ג. </w:t>
      </w:r>
      <w:r>
        <w:rPr>
          <w:rFonts w:ascii="Calibri" w:eastAsia="Calibri" w:hAnsi="Calibri" w:hint="cs"/>
          <w:sz w:val="24"/>
          <w:szCs w:val="24"/>
          <w:rtl/>
        </w:rPr>
        <w:t>לת"ק כשר, לרבי יהודה פסול. והלכה כת"ק.</w:t>
      </w:r>
    </w:p>
    <w:p w14:paraId="04F57E42" w14:textId="48E71037" w:rsidR="008D003D" w:rsidRPr="008D003D" w:rsidRDefault="008D003D" w:rsidP="008D003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ד. </w:t>
      </w:r>
      <w:r w:rsidRPr="008D003D">
        <w:rPr>
          <w:rFonts w:ascii="Calibri" w:eastAsia="Calibri" w:hAnsi="Calibri" w:hint="cs"/>
          <w:sz w:val="24"/>
          <w:szCs w:val="24"/>
          <w:rtl/>
        </w:rPr>
        <w:t>מחלוקת רב ורב אסי. ואח"כ מובא בגמ' עוד ג' שיטות בזה, י"א שכותבים רק אם קיבצם, וי"א שרק באמר הוו דייני, וי"א שרק בהזמינוהו להודות.</w:t>
      </w:r>
    </w:p>
    <w:p w14:paraId="58F96265" w14:textId="5DCC5ABE" w:rsidR="008D003D" w:rsidRPr="008D003D" w:rsidRDefault="008D003D" w:rsidP="008D003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8D003D">
        <w:rPr>
          <w:rFonts w:ascii="Calibri" w:eastAsia="Calibri" w:hAnsi="Calibri" w:hint="cs"/>
          <w:sz w:val="24"/>
          <w:szCs w:val="24"/>
          <w:rtl/>
        </w:rPr>
        <w:t>. לרבי אלעזר לא, לריו"ח כן. [אבל התובע אם הוא מלוה, יכול לכוף הנתבע לדון בעיר אחרת].</w:t>
      </w:r>
    </w:p>
    <w:p w14:paraId="7240B446" w14:textId="29A62A46" w:rsidR="008D003D" w:rsidRPr="008D003D" w:rsidRDefault="008D003D" w:rsidP="008D003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8D003D">
        <w:rPr>
          <w:rFonts w:ascii="Calibri" w:eastAsia="Calibri" w:hAnsi="Calibri" w:hint="cs"/>
          <w:sz w:val="24"/>
          <w:szCs w:val="24"/>
          <w:rtl/>
        </w:rPr>
        <w:t>. מחזירין לזכות ואין מחזירין לחובה, אלא אם טעו בדבר שהצדוקין טועין בו שאז מחזירים גם לחובה.</w:t>
      </w:r>
    </w:p>
    <w:p w14:paraId="3750DDBD" w14:textId="2EB21E60" w:rsidR="008D003D" w:rsidRPr="008D003D" w:rsidRDefault="008D003D" w:rsidP="008D003D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8D003D">
        <w:rPr>
          <w:rFonts w:ascii="Calibri" w:eastAsia="Calibri" w:hAnsi="Calibri" w:hint="cs"/>
          <w:sz w:val="24"/>
          <w:szCs w:val="24"/>
          <w:rtl/>
        </w:rPr>
        <w:t>. תלמיד שאינו זקוק לסברות וראיות של רבו, כיון שיודע לומר מדעתו, נחשב כדיין בפני עצמו, אבל אם זקוק לזה אינו נמנה כדיין בפני עצמו.</w:t>
      </w:r>
    </w:p>
    <w:p w14:paraId="1FD446EA" w14:textId="77777777" w:rsidR="007D448B" w:rsidRPr="008D003D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274017"/>
    <w:rsid w:val="002E23C3"/>
    <w:rsid w:val="003940F7"/>
    <w:rsid w:val="003F5021"/>
    <w:rsid w:val="004747F5"/>
    <w:rsid w:val="0048188C"/>
    <w:rsid w:val="004D5A39"/>
    <w:rsid w:val="004E2F37"/>
    <w:rsid w:val="004F3374"/>
    <w:rsid w:val="00535D84"/>
    <w:rsid w:val="00645D4F"/>
    <w:rsid w:val="006B1A10"/>
    <w:rsid w:val="00741B50"/>
    <w:rsid w:val="007809F0"/>
    <w:rsid w:val="007822C2"/>
    <w:rsid w:val="007D448B"/>
    <w:rsid w:val="00851EC1"/>
    <w:rsid w:val="008B3A5B"/>
    <w:rsid w:val="008B5469"/>
    <w:rsid w:val="008D003D"/>
    <w:rsid w:val="009470B7"/>
    <w:rsid w:val="009A280B"/>
    <w:rsid w:val="00A45CB0"/>
    <w:rsid w:val="00B47B7A"/>
    <w:rsid w:val="00B704B8"/>
    <w:rsid w:val="00BA2D44"/>
    <w:rsid w:val="00C57659"/>
    <w:rsid w:val="00D33501"/>
    <w:rsid w:val="00D806EA"/>
    <w:rsid w:val="00DA4B6D"/>
    <w:rsid w:val="00E246F7"/>
    <w:rsid w:val="00E4296D"/>
    <w:rsid w:val="00EB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314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24</cp:revision>
  <dcterms:created xsi:type="dcterms:W3CDTF">2022-09-15T09:45:00Z</dcterms:created>
  <dcterms:modified xsi:type="dcterms:W3CDTF">2025-01-22T14:23:00Z</dcterms:modified>
</cp:coreProperties>
</file>