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7E66309F" w:rsidR="006B1A10" w:rsidRPr="007D448B" w:rsidRDefault="003002BC" w:rsidP="003002BC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עבודה זרה סו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הוריות ו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3C581C25" w:rsidR="00BB1C57" w:rsidRDefault="007D448B" w:rsidP="003002B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3002BC">
        <w:rPr>
          <w:rFonts w:ascii="Times New Roman" w:eastAsia="Calibri" w:hAnsi="Times New Roman" w:cs="Times New Roman" w:hint="cs"/>
          <w:sz w:val="32"/>
          <w:szCs w:val="32"/>
          <w:rtl/>
        </w:rPr>
        <w:t>עכבר שנפל לשכר, מה דין השכר.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502D4E0C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002BC">
        <w:rPr>
          <w:rFonts w:ascii="Times New Roman" w:eastAsia="Calibri" w:hAnsi="Times New Roman" w:cs="Times New Roman" w:hint="cs"/>
          <w:sz w:val="32"/>
          <w:szCs w:val="32"/>
          <w:rtl/>
        </w:rPr>
        <w:t>חבר שחילק את חצירו עם ע"ה או גוי במחיצה נמוכה, האם צריך לחשוש על היין והטהרות שהניח בחלקו.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5D259F0E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002BC">
        <w:rPr>
          <w:rFonts w:ascii="Times New Roman" w:eastAsia="Calibri" w:hAnsi="Times New Roman" w:cs="Times New Roman" w:hint="cs"/>
          <w:sz w:val="32"/>
          <w:szCs w:val="32"/>
          <w:rtl/>
        </w:rPr>
        <w:t>גוי שהטה את החבית ושפך חלק מהיין שבתוכה לבור, האם מותר לשתות את מה שבחבית או את היין הנשפך ממנה.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0D789123" w:rsidR="00BB1C57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3002BC">
        <w:rPr>
          <w:rFonts w:ascii="Times New Roman" w:eastAsia="Calibri" w:hAnsi="Times New Roman" w:cs="Times New Roman" w:hint="cs"/>
          <w:sz w:val="32"/>
          <w:szCs w:val="32"/>
          <w:rtl/>
        </w:rPr>
        <w:t>גת של אבן שדרך בה הגוי את ענביו, באיזה אופן ניתן להכשירה לישראל.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6F8A1967" w:rsidR="00BB1C5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3002BC">
        <w:rPr>
          <w:rFonts w:ascii="Times New Roman" w:eastAsia="Calibri" w:hAnsi="Times New Roman" w:cs="Times New Roman" w:hint="cs"/>
          <w:sz w:val="32"/>
          <w:szCs w:val="32"/>
          <w:rtl/>
        </w:rPr>
        <w:t>סכין שנשתמש בה גוי, באיזה אופן ניתן להכשירה לישראל.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10B866AF" w14:textId="260E6A73" w:rsidR="003002BC" w:rsidRPr="003002BC" w:rsidRDefault="002E23C3" w:rsidP="00D2521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3002BC" w:rsidRPr="003002BC">
        <w:rPr>
          <w:rFonts w:ascii="Times New Roman" w:eastAsia="Calibri" w:hAnsi="Times New Roman" w:cs="Times New Roman" w:hint="cs"/>
          <w:sz w:val="32"/>
          <w:szCs w:val="32"/>
          <w:rtl/>
        </w:rPr>
        <w:t>האם יש חיוב פר העלם דבר</w:t>
      </w:r>
      <w:r w:rsidR="00D25215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3002BC" w:rsidRPr="003002B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כאשר </w:t>
      </w:r>
      <w:r w:rsidR="00D25215">
        <w:rPr>
          <w:rFonts w:ascii="Times New Roman" w:eastAsia="Calibri" w:hAnsi="Times New Roman" w:cs="Times New Roman" w:hint="cs"/>
          <w:sz w:val="32"/>
          <w:szCs w:val="32"/>
          <w:rtl/>
        </w:rPr>
        <w:t>לא כל</w:t>
      </w:r>
      <w:r w:rsidR="003002BC" w:rsidRPr="003002B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הדיינים </w:t>
      </w:r>
      <w:r w:rsidR="00D25215">
        <w:rPr>
          <w:rFonts w:ascii="Times New Roman" w:eastAsia="Calibri" w:hAnsi="Times New Roman" w:cs="Times New Roman" w:hint="cs"/>
          <w:sz w:val="32"/>
          <w:szCs w:val="32"/>
          <w:rtl/>
        </w:rPr>
        <w:t>הורו שלא כהלכה אלא רובם</w:t>
      </w:r>
      <w:r w:rsidR="003002BC" w:rsidRPr="003002BC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0D47F103" w14:textId="77777777" w:rsidR="003002BC" w:rsidRPr="003002BC" w:rsidRDefault="003002BC" w:rsidP="003002B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3002BC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BF5C4BA" w14:textId="70DEF807" w:rsidR="003002BC" w:rsidRPr="003002BC" w:rsidRDefault="0048737A" w:rsidP="003002B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3002BC" w:rsidRPr="003002BC">
        <w:rPr>
          <w:rFonts w:ascii="Times New Roman" w:eastAsia="Calibri" w:hAnsi="Times New Roman" w:cs="Times New Roman" w:hint="cs"/>
          <w:sz w:val="32"/>
          <w:szCs w:val="32"/>
          <w:rtl/>
        </w:rPr>
        <w:t>) שבט אחד שחטא בהוראת בית דין הגדול, כמה פרים עליהם להביא לרבי יהודה ולרבי שמעון.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27F7686" w14:textId="77777777" w:rsidR="0048737A" w:rsidRDefault="0048737A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הוריות ו</w:t>
      </w: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זבחים </w:t>
      </w: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ז: יתקיים בס"ד ביום </w:t>
      </w:r>
      <w:r w:rsidRPr="00CE6A06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כ"ח אלול</w:t>
      </w: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t xml:space="preserve"> </w:t>
      </w:r>
    </w:p>
    <w:p w14:paraId="088EF82D" w14:textId="2EF2C135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598553BD" w:rsidR="00A45CB0" w:rsidRDefault="007D448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48737A">
        <w:rPr>
          <w:rFonts w:ascii="Calibri" w:eastAsia="Calibri" w:hAnsi="Calibri" w:hint="cs"/>
          <w:sz w:val="24"/>
          <w:szCs w:val="24"/>
          <w:rtl/>
        </w:rPr>
        <w:t>למסקנא עכבר דמתא דמאיס מותר דהוי נותן טעם לפגם. עכבד דדברא אסור מפני שמשביח.</w:t>
      </w:r>
    </w:p>
    <w:p w14:paraId="036DFA20" w14:textId="5C265F54" w:rsidR="0048737A" w:rsidRDefault="0048737A" w:rsidP="0077569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לריו"ח אינו צריך לחשוש, ולרב אם אינו בחצר הפנימית </w:t>
      </w:r>
      <w:r w:rsidR="00775691">
        <w:rPr>
          <w:rFonts w:ascii="Calibri" w:eastAsia="Calibri" w:hAnsi="Calibri" w:hint="cs"/>
          <w:sz w:val="24"/>
          <w:szCs w:val="24"/>
          <w:rtl/>
        </w:rPr>
        <w:t>יותר [</w:t>
      </w:r>
      <w:r>
        <w:rPr>
          <w:rFonts w:ascii="Calibri" w:eastAsia="Calibri" w:hAnsi="Calibri" w:hint="cs"/>
          <w:sz w:val="24"/>
          <w:szCs w:val="24"/>
          <w:rtl/>
        </w:rPr>
        <w:t>שאז נתפס כגנב</w:t>
      </w:r>
      <w:r w:rsidR="00775691">
        <w:rPr>
          <w:rFonts w:ascii="Calibri" w:eastAsia="Calibri" w:hAnsi="Calibri" w:hint="cs"/>
          <w:sz w:val="24"/>
          <w:szCs w:val="24"/>
          <w:rtl/>
        </w:rPr>
        <w:t>]</w:t>
      </w:r>
      <w:r>
        <w:rPr>
          <w:rFonts w:ascii="Calibri" w:eastAsia="Calibri" w:hAnsi="Calibri" w:hint="cs"/>
          <w:sz w:val="24"/>
          <w:szCs w:val="24"/>
          <w:rtl/>
        </w:rPr>
        <w:t>, צריך לחשוש על טהרותיו מפני ע"ה.</w:t>
      </w:r>
    </w:p>
    <w:p w14:paraId="027EBEA9" w14:textId="751E3E2E" w:rsidR="0048737A" w:rsidRDefault="0048737A" w:rsidP="004873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ג. מה שבחבית מותר ומה שנשפך אסור.</w:t>
      </w:r>
    </w:p>
    <w:p w14:paraId="2472AE15" w14:textId="55A98A3E" w:rsidR="0048737A" w:rsidRDefault="0048737A" w:rsidP="004873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 אם לא היתה מזופפת סגי בהדחה, ואם היתה מזופפת בעי קילוף.</w:t>
      </w:r>
    </w:p>
    <w:p w14:paraId="2899A2A1" w14:textId="22E44561" w:rsidR="0048737A" w:rsidRDefault="0048737A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 משייפה באבן, ונועצה עשר פעמים בקרקע שאינה עבודה, ואם אין בה גומות כשרה לשימוש בצונן.</w:t>
      </w:r>
    </w:p>
    <w:p w14:paraId="3C187C22" w14:textId="13350509" w:rsidR="0048737A" w:rsidRPr="0048737A" w:rsidRDefault="0048737A" w:rsidP="00172337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48737A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F3499F" w:rsidRPr="0048737A">
        <w:rPr>
          <w:rFonts w:ascii="Calibri" w:eastAsia="Calibri" w:hAnsi="Calibri" w:hint="cs"/>
          <w:sz w:val="24"/>
          <w:szCs w:val="24"/>
          <w:rtl/>
        </w:rPr>
        <w:t>ל</w:t>
      </w:r>
      <w:r w:rsidR="00F3499F">
        <w:rPr>
          <w:rFonts w:ascii="Calibri" w:eastAsia="Calibri" w:hAnsi="Calibri" w:hint="cs"/>
          <w:sz w:val="24"/>
          <w:szCs w:val="24"/>
          <w:rtl/>
        </w:rPr>
        <w:t>פי ה</w:t>
      </w:r>
      <w:r w:rsidR="00F3499F" w:rsidRPr="0048737A">
        <w:rPr>
          <w:rFonts w:ascii="Calibri" w:eastAsia="Calibri" w:hAnsi="Calibri" w:hint="cs"/>
          <w:sz w:val="24"/>
          <w:szCs w:val="24"/>
          <w:rtl/>
        </w:rPr>
        <w:t>הו"א לרבי יונתן אין חיוב</w:t>
      </w:r>
      <w:r w:rsidR="00F3499F" w:rsidRPr="00F3499F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F3499F" w:rsidRPr="0048737A">
        <w:rPr>
          <w:rFonts w:ascii="Calibri" w:eastAsia="Calibri" w:hAnsi="Calibri" w:hint="cs"/>
          <w:sz w:val="24"/>
          <w:szCs w:val="24"/>
          <w:rtl/>
        </w:rPr>
        <w:t>פר העלם דבר</w:t>
      </w:r>
      <w:r w:rsidR="00F3499F">
        <w:rPr>
          <w:rFonts w:ascii="Calibri" w:eastAsia="Calibri" w:hAnsi="Calibri" w:hint="cs"/>
          <w:sz w:val="24"/>
          <w:szCs w:val="24"/>
          <w:rtl/>
        </w:rPr>
        <w:t>,</w:t>
      </w:r>
      <w:r w:rsidR="00F3499F" w:rsidRPr="0048737A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F3499F">
        <w:rPr>
          <w:rFonts w:ascii="Calibri" w:eastAsia="Calibri" w:hAnsi="Calibri" w:hint="cs"/>
          <w:sz w:val="24"/>
          <w:szCs w:val="24"/>
          <w:rtl/>
        </w:rPr>
        <w:t xml:space="preserve">אך </w:t>
      </w:r>
      <w:r w:rsidRPr="0048737A">
        <w:rPr>
          <w:rFonts w:ascii="Calibri" w:eastAsia="Calibri" w:hAnsi="Calibri" w:hint="cs"/>
          <w:sz w:val="24"/>
          <w:szCs w:val="24"/>
          <w:rtl/>
        </w:rPr>
        <w:t xml:space="preserve">למסקנא </w:t>
      </w:r>
      <w:r w:rsidR="00172337">
        <w:rPr>
          <w:rFonts w:ascii="Calibri" w:eastAsia="Calibri" w:hAnsi="Calibri" w:hint="cs"/>
          <w:sz w:val="24"/>
          <w:szCs w:val="24"/>
          <w:rtl/>
        </w:rPr>
        <w:t>חיי</w:t>
      </w:r>
      <w:r w:rsidRPr="0048737A">
        <w:rPr>
          <w:rFonts w:ascii="Calibri" w:eastAsia="Calibri" w:hAnsi="Calibri" w:hint="cs"/>
          <w:sz w:val="24"/>
          <w:szCs w:val="24"/>
          <w:rtl/>
        </w:rPr>
        <w:t>בים</w:t>
      </w:r>
      <w:r w:rsidR="00F3499F">
        <w:rPr>
          <w:rFonts w:ascii="Calibri" w:eastAsia="Calibri" w:hAnsi="Calibri" w:hint="cs"/>
          <w:sz w:val="24"/>
          <w:szCs w:val="24"/>
          <w:rtl/>
        </w:rPr>
        <w:t>.</w:t>
      </w:r>
    </w:p>
    <w:p w14:paraId="125EE7B7" w14:textId="387252B0" w:rsidR="0048737A" w:rsidRPr="0048737A" w:rsidRDefault="0048737A" w:rsidP="004873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48737A">
        <w:rPr>
          <w:rFonts w:ascii="Calibri" w:eastAsia="Calibri" w:hAnsi="Calibri" w:hint="cs"/>
          <w:sz w:val="24"/>
          <w:szCs w:val="24"/>
          <w:rtl/>
        </w:rPr>
        <w:t>. לרבי יהודה השבט שחטא מביא פר</w:t>
      </w:r>
      <w:r w:rsidR="00280D57">
        <w:rPr>
          <w:rFonts w:ascii="Calibri" w:eastAsia="Calibri" w:hAnsi="Calibri" w:hint="cs"/>
          <w:sz w:val="24"/>
          <w:szCs w:val="24"/>
          <w:rtl/>
        </w:rPr>
        <w:t xml:space="preserve"> [ושאר השבטים מביאים כל אחד פר מדין גרירה], וכן קיי"ל</w:t>
      </w:r>
      <w:bookmarkStart w:id="0" w:name="_GoBack"/>
      <w:bookmarkEnd w:id="0"/>
      <w:r w:rsidRPr="0048737A">
        <w:rPr>
          <w:rFonts w:ascii="Calibri" w:eastAsia="Calibri" w:hAnsi="Calibri" w:hint="cs"/>
          <w:sz w:val="24"/>
          <w:szCs w:val="24"/>
          <w:rtl/>
        </w:rPr>
        <w:t>, ולרבי שמעון שני פרים אחד לשבט שחטא ואחד לבי"ד.</w:t>
      </w:r>
    </w:p>
    <w:p w14:paraId="7909EC75" w14:textId="77777777" w:rsidR="0048737A" w:rsidRPr="00A45CB0" w:rsidRDefault="0048737A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72337"/>
    <w:rsid w:val="001B4845"/>
    <w:rsid w:val="00274017"/>
    <w:rsid w:val="00280D57"/>
    <w:rsid w:val="002E23C3"/>
    <w:rsid w:val="003002BC"/>
    <w:rsid w:val="003940F7"/>
    <w:rsid w:val="003F5021"/>
    <w:rsid w:val="004747F5"/>
    <w:rsid w:val="0048188C"/>
    <w:rsid w:val="0048737A"/>
    <w:rsid w:val="004D5A39"/>
    <w:rsid w:val="004E2F37"/>
    <w:rsid w:val="00535D84"/>
    <w:rsid w:val="00623605"/>
    <w:rsid w:val="00645D4F"/>
    <w:rsid w:val="006B1A10"/>
    <w:rsid w:val="00741B50"/>
    <w:rsid w:val="00775691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21767"/>
    <w:rsid w:val="00A45CB0"/>
    <w:rsid w:val="00B47B7A"/>
    <w:rsid w:val="00B704B8"/>
    <w:rsid w:val="00BA2D44"/>
    <w:rsid w:val="00BB1C57"/>
    <w:rsid w:val="00C57659"/>
    <w:rsid w:val="00D25215"/>
    <w:rsid w:val="00D33501"/>
    <w:rsid w:val="00D806EA"/>
    <w:rsid w:val="00DA4B6D"/>
    <w:rsid w:val="00E146D6"/>
    <w:rsid w:val="00E246F7"/>
    <w:rsid w:val="00EB7708"/>
    <w:rsid w:val="00EF77E9"/>
    <w:rsid w:val="00F3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324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34</cp:revision>
  <dcterms:created xsi:type="dcterms:W3CDTF">2022-09-15T09:45:00Z</dcterms:created>
  <dcterms:modified xsi:type="dcterms:W3CDTF">2025-09-28T19:28:00Z</dcterms:modified>
</cp:coreProperties>
</file>