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1003A5" w:rsidP="001003A5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גיטין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ב: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A02C3A" w:rsidRPr="00A02C3A" w:rsidRDefault="00A02C3A" w:rsidP="00C2317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חרש </w:t>
      </w:r>
      <w:r w:rsidR="006F3138">
        <w:rPr>
          <w:rFonts w:ascii="Times New Roman" w:eastAsia="Calibri" w:hAnsi="Times New Roman" w:cs="Times New Roman" w:hint="cs"/>
          <w:sz w:val="32"/>
          <w:szCs w:val="32"/>
          <w:rtl/>
        </w:rPr>
        <w:t>שה</w:t>
      </w: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ביא גט ממדינת הים</w:t>
      </w:r>
      <w:r w:rsidR="00C23170" w:rsidRPr="00C2317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C23170">
        <w:rPr>
          <w:rFonts w:ascii="Times New Roman" w:eastAsia="Calibri" w:hAnsi="Times New Roman" w:cs="Times New Roman" w:hint="cs"/>
          <w:sz w:val="32"/>
          <w:szCs w:val="32"/>
          <w:rtl/>
        </w:rPr>
        <w:t>ואינו יכול לומר בפני נכתב ובפני נחתם</w:t>
      </w:r>
      <w:r w:rsidR="006F3138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6F3138" w:rsidRPr="006F313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6F3138">
        <w:rPr>
          <w:rFonts w:ascii="Times New Roman" w:eastAsia="Calibri" w:hAnsi="Times New Roman" w:cs="Times New Roman" w:hint="cs"/>
          <w:sz w:val="32"/>
          <w:szCs w:val="32"/>
          <w:rtl/>
        </w:rPr>
        <w:t>באיזה אופן מועילה השליחות</w:t>
      </w: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A02C3A" w:rsidRPr="00A02C3A" w:rsidRDefault="00A02C3A" w:rsidP="00A02C3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02C3A" w:rsidRPr="00A02C3A" w:rsidRDefault="00A02C3A" w:rsidP="00A02C3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) כמה תיבות מהפסוק מותר לכתוב ללא שרטוט.</w:t>
      </w:r>
    </w:p>
    <w:p w:rsidR="00A02C3A" w:rsidRPr="00A02C3A" w:rsidRDefault="00A02C3A" w:rsidP="00A02C3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02C3A" w:rsidRPr="00A02C3A" w:rsidRDefault="00A02C3A" w:rsidP="00A02C3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) האם סוריא חייבת במעשר ובשביעית כ</w:t>
      </w:r>
      <w:r w:rsidR="001F38A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מו </w:t>
      </w: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ארץ ישראל.</w:t>
      </w:r>
    </w:p>
    <w:p w:rsidR="00A02C3A" w:rsidRPr="00A02C3A" w:rsidRDefault="00A02C3A" w:rsidP="00A02C3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02C3A" w:rsidRPr="00A02C3A" w:rsidRDefault="00A02C3A" w:rsidP="00A02C3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) שטר מתנה שנכתב ונחתם בערכאות של עכו"ם</w:t>
      </w:r>
      <w:r w:rsidR="00D34B26">
        <w:rPr>
          <w:rFonts w:ascii="Times New Roman" w:eastAsia="Calibri" w:hAnsi="Times New Roman" w:cs="Times New Roman" w:hint="cs"/>
          <w:sz w:val="32"/>
          <w:szCs w:val="32"/>
          <w:rtl/>
        </w:rPr>
        <w:t>, האם הוא</w:t>
      </w: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כשר או פסול.</w:t>
      </w:r>
    </w:p>
    <w:p w:rsidR="007D448B" w:rsidRPr="007D448B" w:rsidRDefault="007D448B" w:rsidP="00A02C3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02C3A" w:rsidRPr="00A02C3A" w:rsidRDefault="00A02C3A" w:rsidP="00A02C3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האם למסקנת הגמ' יכול הרב לומר לעבד עשה עמי ואיני זנך.</w:t>
      </w:r>
    </w:p>
    <w:p w:rsidR="00A02C3A" w:rsidRPr="00A02C3A" w:rsidRDefault="00A02C3A" w:rsidP="00A02C3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02C3A" w:rsidRPr="00A02C3A" w:rsidRDefault="00A02C3A" w:rsidP="00A02C3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) האם מועיל קנין מעמד שלשתן רק בפקדון או גם במלוה.</w:t>
      </w:r>
    </w:p>
    <w:p w:rsidR="00A02C3A" w:rsidRPr="00A02C3A" w:rsidRDefault="00A02C3A" w:rsidP="00A02C3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02C3A" w:rsidRPr="00A02C3A" w:rsidRDefault="00A02C3A" w:rsidP="00A02C3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A02C3A">
        <w:rPr>
          <w:rFonts w:ascii="Times New Roman" w:eastAsia="Calibri" w:hAnsi="Times New Roman" w:cs="Times New Roman" w:hint="cs"/>
          <w:sz w:val="32"/>
          <w:szCs w:val="32"/>
          <w:rtl/>
        </w:rPr>
        <w:t>) גידוד חמשה ומחיצה חמשה מצטרפים לענין שבת או לא.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1003A5" w:rsidRPr="001003A5" w:rsidRDefault="001003A5" w:rsidP="001003A5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1003A5">
        <w:rPr>
          <w:rFonts w:asciiTheme="majorBidi" w:hAnsiTheme="majorBidi" w:cstheme="majorBidi" w:hint="cs"/>
          <w:sz w:val="32"/>
          <w:szCs w:val="32"/>
          <w:rtl/>
        </w:rPr>
        <w:t xml:space="preserve">המבחן הבא על גיטין טז: - ל: יתקיים בס"ד ביום חמישי כ"ו סיון 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A02C3A" w:rsidRPr="00A02C3A" w:rsidRDefault="007D448B" w:rsidP="004E2997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>א.</w:t>
      </w:r>
      <w:r w:rsidR="006F3138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A02C3A" w:rsidRPr="00A02C3A">
        <w:rPr>
          <w:rFonts w:ascii="Calibri" w:eastAsia="Calibri" w:hAnsi="Calibri" w:hint="cs"/>
          <w:sz w:val="24"/>
          <w:szCs w:val="24"/>
          <w:rtl/>
        </w:rPr>
        <w:t>אם היה פיקח כשנת</w:t>
      </w:r>
      <w:r w:rsidR="004E2997">
        <w:rPr>
          <w:rFonts w:ascii="Calibri" w:eastAsia="Calibri" w:hAnsi="Calibri" w:hint="cs"/>
          <w:sz w:val="24"/>
          <w:szCs w:val="24"/>
          <w:rtl/>
        </w:rPr>
        <w:t>ן</w:t>
      </w:r>
      <w:r w:rsidR="00A02C3A" w:rsidRPr="00A02C3A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6F3138">
        <w:rPr>
          <w:rFonts w:ascii="Calibri" w:eastAsia="Calibri" w:hAnsi="Calibri" w:hint="cs"/>
          <w:sz w:val="24"/>
          <w:szCs w:val="24"/>
          <w:rtl/>
        </w:rPr>
        <w:t xml:space="preserve">את </w:t>
      </w:r>
      <w:r w:rsidR="00A02C3A" w:rsidRPr="00A02C3A">
        <w:rPr>
          <w:rFonts w:ascii="Calibri" w:eastAsia="Calibri" w:hAnsi="Calibri" w:hint="cs"/>
          <w:sz w:val="24"/>
          <w:szCs w:val="24"/>
          <w:rtl/>
        </w:rPr>
        <w:t xml:space="preserve">הגט </w:t>
      </w:r>
      <w:r w:rsidR="004E2997">
        <w:rPr>
          <w:rFonts w:ascii="Calibri" w:eastAsia="Calibri" w:hAnsi="Calibri" w:hint="cs"/>
          <w:sz w:val="24"/>
          <w:szCs w:val="24"/>
          <w:rtl/>
        </w:rPr>
        <w:t xml:space="preserve">לאשה </w:t>
      </w:r>
      <w:bookmarkStart w:id="0" w:name="_GoBack"/>
      <w:bookmarkEnd w:id="0"/>
      <w:r w:rsidR="00A02C3A" w:rsidRPr="00A02C3A">
        <w:rPr>
          <w:rFonts w:ascii="Calibri" w:eastAsia="Calibri" w:hAnsi="Calibri" w:hint="cs"/>
          <w:sz w:val="24"/>
          <w:szCs w:val="24"/>
          <w:rtl/>
        </w:rPr>
        <w:t>ונתחרש אח"כ, כשר ויתקיים הגט בחותמיו.</w:t>
      </w:r>
      <w:r w:rsidR="006F3138">
        <w:rPr>
          <w:rFonts w:ascii="Calibri" w:eastAsia="Calibri" w:hAnsi="Calibri" w:hint="cs"/>
          <w:sz w:val="24"/>
          <w:szCs w:val="24"/>
          <w:rtl/>
        </w:rPr>
        <w:t xml:space="preserve"> [וכן הדין לרבה לאחר שלמדו</w:t>
      </w:r>
      <w:r w:rsidR="001F38A0">
        <w:rPr>
          <w:rFonts w:ascii="Calibri" w:eastAsia="Calibri" w:hAnsi="Calibri" w:hint="cs"/>
          <w:sz w:val="24"/>
          <w:szCs w:val="24"/>
          <w:rtl/>
        </w:rPr>
        <w:t xml:space="preserve"> שצריך לשמה</w:t>
      </w:r>
      <w:r w:rsidR="006F3138">
        <w:rPr>
          <w:rFonts w:ascii="Calibri" w:eastAsia="Calibri" w:hAnsi="Calibri" w:hint="cs"/>
          <w:sz w:val="24"/>
          <w:szCs w:val="24"/>
          <w:rtl/>
        </w:rPr>
        <w:t>, ולא גזרינן שמא יחזור הדבר לקלקולו, כיון דהוי מילתא דלא שכיחא].</w:t>
      </w:r>
    </w:p>
    <w:p w:rsidR="00A02C3A" w:rsidRPr="00A02C3A" w:rsidRDefault="00A02C3A" w:rsidP="00A02C3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A02C3A">
        <w:rPr>
          <w:rFonts w:ascii="Calibri" w:eastAsia="Calibri" w:hAnsi="Calibri" w:hint="cs"/>
          <w:sz w:val="24"/>
          <w:szCs w:val="24"/>
          <w:rtl/>
        </w:rPr>
        <w:t>. לר' יצחק ב', למתניתא ג'.</w:t>
      </w:r>
    </w:p>
    <w:p w:rsidR="00A02C3A" w:rsidRPr="00A02C3A" w:rsidRDefault="00A02C3A" w:rsidP="00A02C3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A02C3A">
        <w:rPr>
          <w:rFonts w:ascii="Calibri" w:eastAsia="Calibri" w:hAnsi="Calibri" w:hint="cs"/>
          <w:sz w:val="24"/>
          <w:szCs w:val="24"/>
          <w:rtl/>
        </w:rPr>
        <w:t>. כן.</w:t>
      </w:r>
    </w:p>
    <w:p w:rsidR="00A02C3A" w:rsidRPr="00A02C3A" w:rsidRDefault="00A02C3A" w:rsidP="00A02C3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A02C3A">
        <w:rPr>
          <w:rFonts w:ascii="Calibri" w:eastAsia="Calibri" w:hAnsi="Calibri" w:hint="cs"/>
          <w:sz w:val="24"/>
          <w:szCs w:val="24"/>
          <w:rtl/>
        </w:rPr>
        <w:t>. לשמואל כשר משום דינא דמלכותא, ולתי' הב' פסול, אא"כ יש עדי מסירה ישראל.</w:t>
      </w:r>
    </w:p>
    <w:p w:rsidR="00A02C3A" w:rsidRPr="00A02C3A" w:rsidRDefault="00A02C3A" w:rsidP="00A02C3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A02C3A">
        <w:rPr>
          <w:rFonts w:ascii="Calibri" w:eastAsia="Calibri" w:hAnsi="Calibri" w:hint="cs"/>
          <w:sz w:val="24"/>
          <w:szCs w:val="24"/>
          <w:rtl/>
        </w:rPr>
        <w:t>. לרב אינו יכול, לריו"ח יכול.</w:t>
      </w:r>
    </w:p>
    <w:p w:rsidR="00A02C3A" w:rsidRPr="00A02C3A" w:rsidRDefault="00A02C3A" w:rsidP="00A02C3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A02C3A">
        <w:rPr>
          <w:rFonts w:ascii="Calibri" w:eastAsia="Calibri" w:hAnsi="Calibri" w:hint="cs"/>
          <w:sz w:val="24"/>
          <w:szCs w:val="24"/>
          <w:rtl/>
        </w:rPr>
        <w:t>. מחלוקת אמוראים. והמסקנא דאף במלוה.</w:t>
      </w:r>
    </w:p>
    <w:p w:rsidR="00A02C3A" w:rsidRPr="00A02C3A" w:rsidRDefault="00A02C3A" w:rsidP="00A02C3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A02C3A">
        <w:rPr>
          <w:rFonts w:ascii="Calibri" w:eastAsia="Calibri" w:hAnsi="Calibri" w:hint="cs"/>
          <w:sz w:val="24"/>
          <w:szCs w:val="24"/>
          <w:rtl/>
        </w:rPr>
        <w:t>. לרב חסדא לא מצטרפין, וקיי"ל כמרימר דמצטרפין.</w:t>
      </w: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003A5"/>
    <w:rsid w:val="001B4845"/>
    <w:rsid w:val="001F38A0"/>
    <w:rsid w:val="003940F7"/>
    <w:rsid w:val="004E2997"/>
    <w:rsid w:val="004E2F37"/>
    <w:rsid w:val="00535D84"/>
    <w:rsid w:val="005D6ABD"/>
    <w:rsid w:val="005F48A2"/>
    <w:rsid w:val="006F3138"/>
    <w:rsid w:val="00741B50"/>
    <w:rsid w:val="007822C2"/>
    <w:rsid w:val="007D448B"/>
    <w:rsid w:val="008B3A5B"/>
    <w:rsid w:val="009470B7"/>
    <w:rsid w:val="009A280B"/>
    <w:rsid w:val="00A02C3A"/>
    <w:rsid w:val="00B47B7A"/>
    <w:rsid w:val="00B704B8"/>
    <w:rsid w:val="00BA2D44"/>
    <w:rsid w:val="00C23170"/>
    <w:rsid w:val="00CF101D"/>
    <w:rsid w:val="00D34B26"/>
    <w:rsid w:val="00D8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86EA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276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11</cp:revision>
  <dcterms:created xsi:type="dcterms:W3CDTF">2023-05-30T08:10:00Z</dcterms:created>
  <dcterms:modified xsi:type="dcterms:W3CDTF">2023-07-02T09:12:00Z</dcterms:modified>
</cp:coreProperties>
</file>