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7D448B" w:rsidRPr="007D448B" w:rsidRDefault="00D806EA" w:rsidP="00B7057A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נדרים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B7057A">
        <w:rPr>
          <w:rFonts w:ascii="Times New Roman" w:eastAsia="Calibri" w:hAnsi="Times New Roman" w:cs="Times New Roman" w:hint="cs"/>
          <w:sz w:val="32"/>
          <w:szCs w:val="32"/>
          <w:rtl/>
        </w:rPr>
        <w:t>טז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 w:rsidR="00B7057A">
        <w:rPr>
          <w:rFonts w:ascii="Times New Roman" w:eastAsia="Calibri" w:hAnsi="Times New Roman" w:cs="Times New Roman" w:hint="cs"/>
          <w:sz w:val="32"/>
          <w:szCs w:val="32"/>
          <w:rtl/>
        </w:rPr>
        <w:t>ל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7D448B" w:rsidRPr="007D448B" w:rsidRDefault="007D448B" w:rsidP="00B7057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א) </w:t>
      </w:r>
      <w:r w:rsidR="00B7057A" w:rsidRPr="00B7057A">
        <w:rPr>
          <w:rFonts w:ascii="Times New Roman" w:eastAsia="Calibri" w:hAnsi="Times New Roman" w:cs="Times New Roman" w:hint="cs"/>
          <w:sz w:val="32"/>
          <w:szCs w:val="32"/>
          <w:rtl/>
        </w:rPr>
        <w:t>המקבל שתי נזירויות בבת אחת ונשאל על הראשונה לאחר שמנה ל' יום, האם צריך לנהוג את הנזירות השניה.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B7057A" w:rsidRPr="00B7057A" w:rsidRDefault="007D448B" w:rsidP="00B7057A">
      <w:pPr>
        <w:spacing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ב) </w:t>
      </w:r>
      <w:r w:rsidR="00B7057A" w:rsidRPr="00B7057A">
        <w:rPr>
          <w:rFonts w:ascii="Times New Roman" w:eastAsia="Calibri" w:hAnsi="Times New Roman" w:cs="Times New Roman" w:hint="cs"/>
          <w:sz w:val="32"/>
          <w:szCs w:val="32"/>
          <w:rtl/>
        </w:rPr>
        <w:t>מה הדין בספק נדרים וספק נזירות.</w:t>
      </w:r>
    </w:p>
    <w:p w:rsidR="00B7057A" w:rsidRPr="00B7057A" w:rsidRDefault="00B7057A" w:rsidP="00B7057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B7057A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B7057A" w:rsidRPr="00B7057A" w:rsidRDefault="00B7057A" w:rsidP="00B7057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B7057A">
        <w:rPr>
          <w:rFonts w:ascii="Times New Roman" w:eastAsia="Calibri" w:hAnsi="Times New Roman" w:cs="Times New Roman" w:hint="cs"/>
          <w:sz w:val="32"/>
          <w:szCs w:val="32"/>
          <w:rtl/>
        </w:rPr>
        <w:t>) האם נדרי זירוזין מותרים לגמרי, או שרבנן החמירו להצריך פתח.</w:t>
      </w:r>
    </w:p>
    <w:p w:rsidR="00B7057A" w:rsidRPr="00B7057A" w:rsidRDefault="00B7057A" w:rsidP="00B7057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B7057A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B7057A" w:rsidRPr="00B7057A" w:rsidRDefault="00B7057A" w:rsidP="00E531C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B7057A">
        <w:rPr>
          <w:rFonts w:ascii="Times New Roman" w:eastAsia="Calibri" w:hAnsi="Times New Roman" w:cs="Times New Roman" w:hint="cs"/>
          <w:sz w:val="32"/>
          <w:szCs w:val="32"/>
          <w:rtl/>
        </w:rPr>
        <w:t>) המדיר את חבירו כדי שישמע לדבריו ועבר על ציוויו, האם ניתן לפתוח לו בכך שאם היה יודע שיעבור על דבריו</w:t>
      </w:r>
      <w:r w:rsidR="00E531CD" w:rsidRPr="00E531CD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E531CD" w:rsidRPr="00B7057A">
        <w:rPr>
          <w:rFonts w:ascii="Times New Roman" w:eastAsia="Calibri" w:hAnsi="Times New Roman" w:cs="Times New Roman" w:hint="cs"/>
          <w:sz w:val="32"/>
          <w:szCs w:val="32"/>
          <w:rtl/>
        </w:rPr>
        <w:t>לא היה נודר</w:t>
      </w:r>
      <w:r w:rsidRPr="00B7057A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:rsidR="00B7057A" w:rsidRPr="00B7057A" w:rsidRDefault="00B7057A" w:rsidP="0066764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B7057A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667642" w:rsidRDefault="00B7057A" w:rsidP="0066764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B7057A">
        <w:rPr>
          <w:rFonts w:ascii="Times New Roman" w:eastAsia="Calibri" w:hAnsi="Times New Roman" w:cs="Times New Roman" w:hint="cs"/>
          <w:sz w:val="32"/>
          <w:szCs w:val="32"/>
          <w:rtl/>
        </w:rPr>
        <w:t>) הנשבע שבועת הבאי</w:t>
      </w:r>
      <w:r w:rsidR="00E531CD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Pr="00B7057A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באיזה אופן עובר משום שבועת שוא ובאיזה אופן אינו </w:t>
      </w:r>
      <w:r w:rsidR="00667642" w:rsidRPr="00667642">
        <w:rPr>
          <w:rFonts w:ascii="Times New Roman" w:eastAsia="Calibri" w:hAnsi="Times New Roman" w:cs="Times New Roman" w:hint="cs"/>
          <w:sz w:val="32"/>
          <w:szCs w:val="32"/>
          <w:rtl/>
        </w:rPr>
        <w:t>עובר.</w:t>
      </w:r>
      <w:r w:rsidR="00667642" w:rsidRPr="00667642">
        <w:rPr>
          <w:rFonts w:ascii="Times New Roman" w:eastAsia="Calibri" w:hAnsi="Times New Roman" w:cs="Times New Roman" w:hint="cs"/>
          <w:color w:val="FF0000"/>
          <w:sz w:val="32"/>
          <w:szCs w:val="32"/>
          <w:rtl/>
        </w:rPr>
        <w:t xml:space="preserve"> זו שאלה מהר"ן, עדיף מהגמ'.</w:t>
      </w:r>
    </w:p>
    <w:p w:rsidR="00B7057A" w:rsidRPr="00B7057A" w:rsidRDefault="00B7057A" w:rsidP="0066764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B7057A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B7057A" w:rsidRPr="00B7057A" w:rsidRDefault="00B7057A" w:rsidP="0066764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B7057A">
        <w:rPr>
          <w:rFonts w:ascii="Times New Roman" w:eastAsia="Calibri" w:hAnsi="Times New Roman" w:cs="Times New Roman" w:hint="cs"/>
          <w:sz w:val="32"/>
          <w:szCs w:val="32"/>
          <w:rtl/>
        </w:rPr>
        <w:t>) האומר אם לא אבוא עד ל' יום יבטלו זכויותי, האם זכויותיו בטלות כשלא בא.</w:t>
      </w:r>
    </w:p>
    <w:p w:rsidR="00B7057A" w:rsidRPr="00B7057A" w:rsidRDefault="00B7057A" w:rsidP="0066764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B7057A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B7057A" w:rsidRPr="00B7057A" w:rsidRDefault="00B7057A" w:rsidP="005D36D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B7057A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באיזה אופן </w:t>
      </w:r>
      <w:r w:rsidR="005D36DC">
        <w:rPr>
          <w:rFonts w:ascii="Times New Roman" w:eastAsia="Calibri" w:hAnsi="Times New Roman" w:cs="Times New Roman" w:hint="cs"/>
          <w:sz w:val="32"/>
          <w:szCs w:val="32"/>
          <w:rtl/>
        </w:rPr>
        <w:t>יש עצה לאדם ה</w:t>
      </w:r>
      <w:r w:rsidRPr="00B7057A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נודר להרגין </w:t>
      </w:r>
      <w:r w:rsidR="005D36DC">
        <w:rPr>
          <w:rFonts w:ascii="Times New Roman" w:eastAsia="Calibri" w:hAnsi="Times New Roman" w:cs="Times New Roman" w:hint="cs"/>
          <w:sz w:val="32"/>
          <w:szCs w:val="32"/>
          <w:rtl/>
        </w:rPr>
        <w:t>שלא יצטרך</w:t>
      </w:r>
      <w:r w:rsidRPr="00B7057A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לקיים את הנדר.</w:t>
      </w:r>
    </w:p>
    <w:p w:rsidR="007D448B" w:rsidRPr="007D448B" w:rsidRDefault="007D448B" w:rsidP="00B7057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B7057A" w:rsidRPr="00B7057A" w:rsidRDefault="00B7057A" w:rsidP="00B7057A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B7057A">
        <w:rPr>
          <w:rFonts w:asciiTheme="majorBidi" w:hAnsiTheme="majorBidi" w:cstheme="majorBidi" w:hint="cs"/>
          <w:sz w:val="32"/>
          <w:szCs w:val="32"/>
          <w:rtl/>
        </w:rPr>
        <w:t>המבחן הבא על נדרים ל: - מד: יתקיים בס"ד ביום חמישי י"ד כסלו</w:t>
      </w:r>
    </w:p>
    <w:p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7D448B" w:rsidRDefault="007D448B" w:rsidP="00B7057A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B7057A" w:rsidRPr="00B7057A">
        <w:rPr>
          <w:rFonts w:ascii="Calibri" w:eastAsia="Calibri" w:hAnsi="Calibri" w:hint="cs"/>
          <w:sz w:val="24"/>
          <w:szCs w:val="24"/>
          <w:rtl/>
        </w:rPr>
        <w:t>עלתה לו שניה בראשונה.</w:t>
      </w:r>
    </w:p>
    <w:p w:rsidR="00B7057A" w:rsidRPr="00B7057A" w:rsidRDefault="00B7057A" w:rsidP="00B7057A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ב. </w:t>
      </w:r>
      <w:r w:rsidRPr="00B7057A">
        <w:rPr>
          <w:rFonts w:ascii="Calibri" w:eastAsia="Calibri" w:hAnsi="Calibri" w:hint="cs"/>
          <w:sz w:val="24"/>
          <w:szCs w:val="24"/>
          <w:rtl/>
        </w:rPr>
        <w:t>לרבי שמעון הכל אסור, לרבי יהודה ספק נדרים אסור וספק נזירות מותר, לראב"צ ספק נדרים מותר.</w:t>
      </w:r>
    </w:p>
    <w:p w:rsidR="00B7057A" w:rsidRPr="00B7057A" w:rsidRDefault="00B7057A" w:rsidP="00B7057A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B7057A">
        <w:rPr>
          <w:rFonts w:ascii="Calibri" w:eastAsia="Calibri" w:hAnsi="Calibri" w:hint="cs"/>
          <w:sz w:val="24"/>
          <w:szCs w:val="24"/>
          <w:rtl/>
        </w:rPr>
        <w:t xml:space="preserve">. להו"א </w:t>
      </w:r>
      <w:r w:rsidR="00E531CD">
        <w:rPr>
          <w:rFonts w:ascii="Calibri" w:eastAsia="Calibri" w:hAnsi="Calibri" w:hint="cs"/>
          <w:sz w:val="24"/>
          <w:szCs w:val="24"/>
          <w:rtl/>
        </w:rPr>
        <w:t>ד</w:t>
      </w:r>
      <w:r w:rsidRPr="00B7057A">
        <w:rPr>
          <w:rFonts w:ascii="Calibri" w:eastAsia="Calibri" w:hAnsi="Calibri" w:hint="cs"/>
          <w:sz w:val="24"/>
          <w:szCs w:val="24"/>
          <w:rtl/>
        </w:rPr>
        <w:t>מתני' רבי טרפון שאין מועיל נדר בתנאי</w:t>
      </w:r>
      <w:r w:rsidR="00E531CD">
        <w:rPr>
          <w:rFonts w:ascii="Calibri" w:eastAsia="Calibri" w:hAnsi="Calibri" w:hint="cs"/>
          <w:sz w:val="24"/>
          <w:szCs w:val="24"/>
          <w:rtl/>
        </w:rPr>
        <w:t>,</w:t>
      </w:r>
      <w:r w:rsidRPr="00B7057A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E531CD">
        <w:rPr>
          <w:rFonts w:ascii="Calibri" w:eastAsia="Calibri" w:hAnsi="Calibri" w:hint="cs"/>
          <w:sz w:val="24"/>
          <w:szCs w:val="24"/>
          <w:rtl/>
        </w:rPr>
        <w:t>נמצא דולרבנן צריך התרה.</w:t>
      </w:r>
      <w:r w:rsidRPr="00B7057A">
        <w:rPr>
          <w:rFonts w:ascii="Calibri" w:eastAsia="Calibri" w:hAnsi="Calibri" w:hint="cs"/>
          <w:sz w:val="24"/>
          <w:szCs w:val="24"/>
          <w:rtl/>
        </w:rPr>
        <w:t xml:space="preserve"> וכן היה צד בגמ' </w:t>
      </w:r>
      <w:r w:rsidR="00E531CD">
        <w:rPr>
          <w:rFonts w:ascii="Calibri" w:eastAsia="Calibri" w:hAnsi="Calibri" w:hint="cs"/>
          <w:sz w:val="24"/>
          <w:szCs w:val="24"/>
          <w:rtl/>
        </w:rPr>
        <w:t xml:space="preserve">בהמשך </w:t>
      </w:r>
      <w:r w:rsidRPr="00B7057A">
        <w:rPr>
          <w:rFonts w:ascii="Calibri" w:eastAsia="Calibri" w:hAnsi="Calibri" w:hint="cs"/>
          <w:sz w:val="24"/>
          <w:szCs w:val="24"/>
          <w:rtl/>
        </w:rPr>
        <w:t>שצריך פתח, ולמסקנא א"צ.</w:t>
      </w:r>
    </w:p>
    <w:p w:rsidR="00B7057A" w:rsidRPr="00B7057A" w:rsidRDefault="00B7057A" w:rsidP="00B7057A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B7057A">
        <w:rPr>
          <w:rFonts w:ascii="Calibri" w:eastAsia="Calibri" w:hAnsi="Calibri" w:hint="cs"/>
          <w:sz w:val="24"/>
          <w:szCs w:val="24"/>
          <w:rtl/>
        </w:rPr>
        <w:t>. כן.</w:t>
      </w:r>
    </w:p>
    <w:p w:rsidR="00B7057A" w:rsidRPr="00974C12" w:rsidRDefault="00B7057A" w:rsidP="00E531C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Pr="00B7057A">
        <w:rPr>
          <w:rFonts w:ascii="Calibri" w:eastAsia="Calibri" w:hAnsi="Calibri" w:hint="cs"/>
          <w:sz w:val="24"/>
          <w:szCs w:val="24"/>
          <w:rtl/>
        </w:rPr>
        <w:t>. במקום שלא שייך</w:t>
      </w:r>
      <w:r w:rsidR="00E531CD">
        <w:rPr>
          <w:rFonts w:ascii="Calibri" w:eastAsia="Calibri" w:hAnsi="Calibri" w:hint="cs"/>
          <w:sz w:val="24"/>
          <w:szCs w:val="24"/>
          <w:rtl/>
        </w:rPr>
        <w:t xml:space="preserve"> לומר שאמר דרך</w:t>
      </w:r>
      <w:r w:rsidRPr="00B7057A">
        <w:rPr>
          <w:rFonts w:ascii="Calibri" w:eastAsia="Calibri" w:hAnsi="Calibri" w:hint="cs"/>
          <w:sz w:val="24"/>
          <w:szCs w:val="24"/>
          <w:rtl/>
        </w:rPr>
        <w:t xml:space="preserve"> גוזמא, כגון גמל הפורח באויר ונחש כקורת בית הבד, הרי זו שבועת שוא. </w:t>
      </w:r>
      <w:bookmarkStart w:id="0" w:name="_GoBack"/>
      <w:r w:rsidRPr="00974C12">
        <w:rPr>
          <w:rFonts w:ascii="Calibri" w:eastAsia="Calibri" w:hAnsi="Calibri" w:hint="cs"/>
          <w:sz w:val="24"/>
          <w:szCs w:val="24"/>
          <w:rtl/>
        </w:rPr>
        <w:t>ואם אמר אם לא ראיתי כעולי מצרים לא הוי שבועת שוא</w:t>
      </w:r>
      <w:r w:rsidR="00E531CD" w:rsidRPr="00974C12">
        <w:rPr>
          <w:rFonts w:ascii="Calibri" w:eastAsia="Calibri" w:hAnsi="Calibri" w:hint="cs"/>
          <w:sz w:val="24"/>
          <w:szCs w:val="24"/>
          <w:rtl/>
        </w:rPr>
        <w:t>, כיון שאפשר לומר שאמר דרך גוזמא שראה עם רב</w:t>
      </w:r>
      <w:r w:rsidRPr="00974C12">
        <w:rPr>
          <w:rFonts w:ascii="Calibri" w:eastAsia="Calibri" w:hAnsi="Calibri" w:hint="cs"/>
          <w:sz w:val="24"/>
          <w:szCs w:val="24"/>
          <w:rtl/>
        </w:rPr>
        <w:t>.</w:t>
      </w:r>
    </w:p>
    <w:p w:rsidR="00B7057A" w:rsidRPr="00974C12" w:rsidRDefault="00B7057A" w:rsidP="00974C12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974C12">
        <w:rPr>
          <w:rFonts w:ascii="Calibri" w:eastAsia="Calibri" w:hAnsi="Calibri" w:hint="cs"/>
          <w:sz w:val="24"/>
          <w:szCs w:val="24"/>
          <w:rtl/>
        </w:rPr>
        <w:t xml:space="preserve">ו. </w:t>
      </w:r>
      <w:r w:rsidR="00974C12" w:rsidRPr="00974C12">
        <w:rPr>
          <w:rFonts w:ascii="Calibri" w:eastAsia="Calibri" w:hAnsi="Calibri" w:hint="cs"/>
          <w:sz w:val="24"/>
          <w:szCs w:val="24"/>
          <w:rtl/>
        </w:rPr>
        <w:t>לרבא אינם בטלות כיון שנאנס, ולרב הונא הם בטלות אפי' נאנס, ולמסקנא אין בזה אסמכתא והם בטלות אם קנו מיניה בבי"ד חשוב, והוא דלא אניס.</w:t>
      </w:r>
    </w:p>
    <w:p w:rsidR="00B7057A" w:rsidRPr="00974C12" w:rsidRDefault="00B7057A" w:rsidP="00887A77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974C12">
        <w:rPr>
          <w:rFonts w:ascii="Calibri" w:eastAsia="Calibri" w:hAnsi="Calibri" w:hint="cs"/>
          <w:sz w:val="24"/>
          <w:szCs w:val="24"/>
          <w:rtl/>
        </w:rPr>
        <w:t xml:space="preserve">ז. </w:t>
      </w:r>
      <w:r w:rsidR="00887A77" w:rsidRPr="00974C12">
        <w:rPr>
          <w:rFonts w:ascii="Calibri" w:eastAsia="Calibri" w:hAnsi="Calibri" w:hint="cs"/>
          <w:sz w:val="24"/>
          <w:szCs w:val="24"/>
          <w:rtl/>
        </w:rPr>
        <w:t>שי</w:t>
      </w:r>
      <w:r w:rsidRPr="00974C12">
        <w:rPr>
          <w:rFonts w:ascii="Calibri" w:eastAsia="Calibri" w:hAnsi="Calibri" w:hint="cs"/>
          <w:sz w:val="24"/>
          <w:szCs w:val="24"/>
          <w:rtl/>
        </w:rPr>
        <w:t>אמר בלבו היום.</w:t>
      </w:r>
    </w:p>
    <w:bookmarkEnd w:id="0"/>
    <w:p w:rsidR="00B7057A" w:rsidRPr="007D448B" w:rsidRDefault="00B7057A" w:rsidP="00B7057A">
      <w:pPr>
        <w:spacing w:after="0"/>
        <w:rPr>
          <w:rFonts w:ascii="Calibri" w:eastAsia="Calibri" w:hAnsi="Calibri"/>
          <w:sz w:val="24"/>
          <w:szCs w:val="24"/>
          <w:rtl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822C2" w:rsidRDefault="007822C2"/>
    <w:sectPr w:rsidR="007822C2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3940F7"/>
    <w:rsid w:val="004E2F37"/>
    <w:rsid w:val="005D36DC"/>
    <w:rsid w:val="00667642"/>
    <w:rsid w:val="00741B50"/>
    <w:rsid w:val="007822C2"/>
    <w:rsid w:val="007D448B"/>
    <w:rsid w:val="00887A77"/>
    <w:rsid w:val="008B3A5B"/>
    <w:rsid w:val="00974876"/>
    <w:rsid w:val="00974C12"/>
    <w:rsid w:val="009A280B"/>
    <w:rsid w:val="00AC2D20"/>
    <w:rsid w:val="00B47B7A"/>
    <w:rsid w:val="00B704B8"/>
    <w:rsid w:val="00B7057A"/>
    <w:rsid w:val="00BA2D44"/>
    <w:rsid w:val="00D806EA"/>
    <w:rsid w:val="00E5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2273B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331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8</cp:revision>
  <cp:lastPrinted>2022-12-06T08:17:00Z</cp:lastPrinted>
  <dcterms:created xsi:type="dcterms:W3CDTF">2022-11-21T15:51:00Z</dcterms:created>
  <dcterms:modified xsi:type="dcterms:W3CDTF">2022-12-06T08:17:00Z</dcterms:modified>
</cp:coreProperties>
</file>