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:rsidR="007D448B" w:rsidRPr="007D448B" w:rsidRDefault="00D806EA" w:rsidP="00535D8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נדרים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535D84">
        <w:rPr>
          <w:rFonts w:ascii="Times New Roman" w:eastAsia="Calibri" w:hAnsi="Times New Roman" w:cs="Times New Roman" w:hint="cs"/>
          <w:sz w:val="32"/>
          <w:szCs w:val="32"/>
          <w:rtl/>
        </w:rPr>
        <w:t>ל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 w:rsidR="00535D84">
        <w:rPr>
          <w:rFonts w:ascii="Times New Roman" w:eastAsia="Calibri" w:hAnsi="Times New Roman" w:cs="Times New Roman" w:hint="cs"/>
          <w:sz w:val="32"/>
          <w:szCs w:val="32"/>
          <w:rtl/>
        </w:rPr>
        <w:t>מד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:rsidR="007D448B" w:rsidRPr="007D448B" w:rsidRDefault="007D448B" w:rsidP="00922E9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א) </w:t>
      </w:r>
      <w:r w:rsidR="0065216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מי שביקש </w:t>
      </w:r>
      <w:r w:rsidR="00922E9D">
        <w:rPr>
          <w:rFonts w:ascii="Times New Roman" w:eastAsia="Calibri" w:hAnsi="Times New Roman" w:cs="Times New Roman" w:hint="cs"/>
          <w:sz w:val="32"/>
          <w:szCs w:val="32"/>
          <w:rtl/>
        </w:rPr>
        <w:t>מהמוכר</w:t>
      </w:r>
      <w:r w:rsidR="0065216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כלי</w:t>
      </w:r>
      <w:r w:rsidR="00922E9D">
        <w:rPr>
          <w:rFonts w:ascii="Times New Roman" w:eastAsia="Calibri" w:hAnsi="Times New Roman" w:cs="Times New Roman" w:hint="cs"/>
          <w:sz w:val="32"/>
          <w:szCs w:val="32"/>
          <w:rtl/>
        </w:rPr>
        <w:t>ם</w:t>
      </w:r>
      <w:r w:rsidR="0065216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כדי </w:t>
      </w:r>
      <w:r w:rsidR="00922E9D">
        <w:rPr>
          <w:rFonts w:ascii="Times New Roman" w:eastAsia="Calibri" w:hAnsi="Times New Roman" w:cs="Times New Roman" w:hint="cs"/>
          <w:sz w:val="32"/>
          <w:szCs w:val="32"/>
          <w:rtl/>
        </w:rPr>
        <w:t>לתת אותם</w:t>
      </w:r>
      <w:r w:rsidR="0065216F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במתנה לבית חמיו אם ירצו, </w:t>
      </w:r>
      <w:r w:rsidR="00922E9D">
        <w:rPr>
          <w:rFonts w:ascii="Times New Roman" w:eastAsia="Calibri" w:hAnsi="Times New Roman" w:cs="Times New Roman" w:hint="cs"/>
          <w:sz w:val="32"/>
          <w:szCs w:val="32"/>
          <w:rtl/>
        </w:rPr>
        <w:t>האם נחשב שואל או שומר שכר</w:t>
      </w:r>
      <w:r w:rsidR="0065216F"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DF1721" w:rsidRPr="00DF1721" w:rsidRDefault="00DF1721" w:rsidP="00DF17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F1721">
        <w:rPr>
          <w:rFonts w:ascii="Times New Roman" w:eastAsia="Calibri" w:hAnsi="Times New Roman" w:cs="Times New Roman" w:hint="cs"/>
          <w:sz w:val="32"/>
          <w:szCs w:val="32"/>
          <w:rtl/>
        </w:rPr>
        <w:t>א) האם מותר למדיר הנאה מחבירו לפרוע את חוב המודר, לחנן ולרבנן.</w:t>
      </w:r>
    </w:p>
    <w:p w:rsidR="00DF1721" w:rsidRPr="00DF1721" w:rsidRDefault="00DF1721" w:rsidP="00DF17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F172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DF1721" w:rsidRPr="00DF1721" w:rsidRDefault="00DF1721" w:rsidP="00DF17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F1721">
        <w:rPr>
          <w:rFonts w:ascii="Times New Roman" w:eastAsia="Calibri" w:hAnsi="Times New Roman" w:cs="Times New Roman" w:hint="cs"/>
          <w:sz w:val="32"/>
          <w:szCs w:val="32"/>
          <w:rtl/>
        </w:rPr>
        <w:t>ב) האם יש מעילה בקונמות.</w:t>
      </w:r>
    </w:p>
    <w:p w:rsidR="00DF1721" w:rsidRPr="00DF1721" w:rsidRDefault="00DF1721" w:rsidP="00DF17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F172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DF1721" w:rsidRPr="00DF1721" w:rsidRDefault="00DF1721" w:rsidP="00DF17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F1721">
        <w:rPr>
          <w:rFonts w:ascii="Times New Roman" w:eastAsia="Calibri" w:hAnsi="Times New Roman" w:cs="Times New Roman" w:hint="cs"/>
          <w:sz w:val="32"/>
          <w:szCs w:val="32"/>
          <w:rtl/>
        </w:rPr>
        <w:t>ג) האם מותר לקחת שכר על לימוד מקרא לבנים ולבנות.</w:t>
      </w:r>
    </w:p>
    <w:p w:rsidR="00DF1721" w:rsidRPr="00DF1721" w:rsidRDefault="00DF1721" w:rsidP="00DF17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F172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DF1721" w:rsidRPr="00DF1721" w:rsidRDefault="00DF1721" w:rsidP="00DF17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F1721">
        <w:rPr>
          <w:rFonts w:ascii="Times New Roman" w:eastAsia="Calibri" w:hAnsi="Times New Roman" w:cs="Times New Roman" w:hint="cs"/>
          <w:sz w:val="32"/>
          <w:szCs w:val="32"/>
          <w:rtl/>
        </w:rPr>
        <w:t>ד) לענין מה נאמר שביקור חולים אין לו שיעור.</w:t>
      </w:r>
    </w:p>
    <w:p w:rsidR="00DF1721" w:rsidRPr="00DF1721" w:rsidRDefault="00DF1721" w:rsidP="00DF17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F172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DF1721" w:rsidRPr="00DF1721" w:rsidRDefault="00DF1721" w:rsidP="00DF17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DF1721">
        <w:rPr>
          <w:rFonts w:ascii="Times New Roman" w:eastAsia="Calibri" w:hAnsi="Times New Roman" w:cs="Times New Roman" w:hint="cs"/>
          <w:sz w:val="32"/>
          <w:szCs w:val="32"/>
          <w:rtl/>
        </w:rPr>
        <w:t>ה) האם מותר לרופא לרפא את בהמתו של המודר ממנו הנאה.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ז) </w:t>
      </w:r>
      <w:r w:rsidR="0012451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מדיר שהניח דבר מאכל והפקירו לכל מי שירצה, האם יכול המודר לאוכלו. 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535D84" w:rsidRPr="00535D84" w:rsidRDefault="00535D84" w:rsidP="00535D8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535D84">
        <w:rPr>
          <w:rFonts w:asciiTheme="majorBidi" w:hAnsiTheme="majorBidi" w:cstheme="majorBidi" w:hint="cs"/>
          <w:sz w:val="32"/>
          <w:szCs w:val="32"/>
          <w:rtl/>
        </w:rPr>
        <w:t>המבחן הבא על נדרים מד: - נח: יתקיים בס"ד ביום חמישי כ"ח כסלו</w:t>
      </w: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:rsidR="007D448B" w:rsidRPr="007D448B" w:rsidRDefault="007D448B" w:rsidP="00922E9D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922E9D">
        <w:rPr>
          <w:rFonts w:ascii="Calibri" w:eastAsia="Calibri" w:hAnsi="Calibri" w:hint="cs"/>
          <w:sz w:val="24"/>
          <w:szCs w:val="24"/>
          <w:rtl/>
        </w:rPr>
        <w:t>בהליכה לבית חמיו נחשב שואל שכל הנאה שלו, ו</w:t>
      </w:r>
      <w:r w:rsidR="0065216F">
        <w:rPr>
          <w:rFonts w:ascii="Calibri" w:eastAsia="Calibri" w:hAnsi="Calibri" w:hint="cs"/>
          <w:sz w:val="24"/>
          <w:szCs w:val="24"/>
          <w:rtl/>
        </w:rPr>
        <w:t xml:space="preserve">בחזרה מבית חמיו </w:t>
      </w:r>
      <w:r w:rsidR="00922E9D">
        <w:rPr>
          <w:rFonts w:ascii="Calibri" w:eastAsia="Calibri" w:hAnsi="Calibri" w:hint="cs"/>
          <w:sz w:val="24"/>
          <w:szCs w:val="24"/>
          <w:rtl/>
        </w:rPr>
        <w:t>נחשב שומר שכר, ככל שואל שגמרו ימי שאילתו, דהואיל ונהנה מהנה.</w:t>
      </w:r>
    </w:p>
    <w:p w:rsidR="00DF1721" w:rsidRPr="00DF1721" w:rsidRDefault="00124519" w:rsidP="00DF17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DF1721" w:rsidRPr="00DF1721">
        <w:rPr>
          <w:rFonts w:ascii="Calibri" w:eastAsia="Calibri" w:hAnsi="Calibri" w:hint="cs"/>
          <w:sz w:val="24"/>
          <w:szCs w:val="24"/>
          <w:rtl/>
        </w:rPr>
        <w:t xml:space="preserve">. לחנן מותר, לרבנן </w:t>
      </w:r>
      <w:r w:rsidR="00AE4658">
        <w:rPr>
          <w:rFonts w:ascii="Calibri" w:eastAsia="Calibri" w:hAnsi="Calibri" w:hint="cs"/>
          <w:sz w:val="24"/>
          <w:szCs w:val="24"/>
          <w:rtl/>
        </w:rPr>
        <w:t xml:space="preserve">- </w:t>
      </w:r>
      <w:r w:rsidR="00DF1721" w:rsidRPr="00DF1721">
        <w:rPr>
          <w:rFonts w:ascii="Calibri" w:eastAsia="Calibri" w:hAnsi="Calibri" w:hint="cs"/>
          <w:sz w:val="24"/>
          <w:szCs w:val="24"/>
          <w:rtl/>
        </w:rPr>
        <w:t>לרב אושעיא אסור</w:t>
      </w:r>
      <w:r w:rsidR="00AE4658">
        <w:rPr>
          <w:rFonts w:ascii="Calibri" w:eastAsia="Calibri" w:hAnsi="Calibri" w:hint="cs"/>
          <w:sz w:val="24"/>
          <w:szCs w:val="24"/>
          <w:rtl/>
        </w:rPr>
        <w:t>,</w:t>
      </w:r>
      <w:r w:rsidR="00DF1721" w:rsidRPr="00DF1721">
        <w:rPr>
          <w:rFonts w:ascii="Calibri" w:eastAsia="Calibri" w:hAnsi="Calibri" w:hint="cs"/>
          <w:sz w:val="24"/>
          <w:szCs w:val="24"/>
          <w:rtl/>
        </w:rPr>
        <w:t xml:space="preserve"> ולרבא מותר אם התנה ע"מ שלא לפרוע.</w:t>
      </w:r>
    </w:p>
    <w:p w:rsidR="00DF1721" w:rsidRPr="00DF1721" w:rsidRDefault="00124519" w:rsidP="00DF17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DF1721" w:rsidRPr="00DF1721">
        <w:rPr>
          <w:rFonts w:ascii="Calibri" w:eastAsia="Calibri" w:hAnsi="Calibri" w:hint="cs"/>
          <w:sz w:val="24"/>
          <w:szCs w:val="24"/>
          <w:rtl/>
        </w:rPr>
        <w:t>. לרבי מאיר יש מעילה, וכן קיי"ל. ולרבנן אין.</w:t>
      </w:r>
    </w:p>
    <w:p w:rsidR="00DF1721" w:rsidRPr="00DF1721" w:rsidRDefault="00124519" w:rsidP="00DF17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DF1721" w:rsidRPr="00DF1721">
        <w:rPr>
          <w:rFonts w:ascii="Calibri" w:eastAsia="Calibri" w:hAnsi="Calibri" w:hint="cs"/>
          <w:sz w:val="24"/>
          <w:szCs w:val="24"/>
          <w:rtl/>
        </w:rPr>
        <w:t>. לבנים מותר לכו"ע, ולבנות - לרב דאמר שכר שימור אסור, לריו"ח דאמר שכר פיסוק טעמים מותר.</w:t>
      </w:r>
    </w:p>
    <w:p w:rsidR="00DF1721" w:rsidRPr="00DF1721" w:rsidRDefault="00124519" w:rsidP="00DF17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DF1721" w:rsidRPr="00DF1721">
        <w:rPr>
          <w:rFonts w:ascii="Calibri" w:eastAsia="Calibri" w:hAnsi="Calibri" w:hint="cs"/>
          <w:sz w:val="24"/>
          <w:szCs w:val="24"/>
          <w:rtl/>
        </w:rPr>
        <w:t>. לאביי אפי' גדול אצל קטן. לרבא אפי' מאה פעמים ביום.</w:t>
      </w:r>
    </w:p>
    <w:p w:rsidR="00DF1721" w:rsidRPr="00DF1721" w:rsidRDefault="00124519" w:rsidP="00737E2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DF1721" w:rsidRPr="00DF1721">
        <w:rPr>
          <w:rFonts w:ascii="Calibri" w:eastAsia="Calibri" w:hAnsi="Calibri" w:hint="cs"/>
          <w:sz w:val="24"/>
          <w:szCs w:val="24"/>
          <w:rtl/>
        </w:rPr>
        <w:t>. אסור. [</w:t>
      </w:r>
      <w:r w:rsidR="00737E2E">
        <w:rPr>
          <w:rFonts w:ascii="Calibri" w:eastAsia="Calibri" w:hAnsi="Calibri" w:hint="cs"/>
          <w:sz w:val="24"/>
          <w:szCs w:val="24"/>
          <w:rtl/>
        </w:rPr>
        <w:t xml:space="preserve">וכתב הר"ן שאם אין </w:t>
      </w:r>
      <w:r w:rsidR="00737E2E" w:rsidRPr="00DF1721">
        <w:rPr>
          <w:rFonts w:ascii="Calibri" w:eastAsia="Calibri" w:hAnsi="Calibri" w:hint="cs"/>
          <w:sz w:val="24"/>
          <w:szCs w:val="24"/>
          <w:rtl/>
        </w:rPr>
        <w:t xml:space="preserve">רופא אחר </w:t>
      </w:r>
      <w:r w:rsidR="00DF1721" w:rsidRPr="00DF1721">
        <w:rPr>
          <w:rFonts w:ascii="Calibri" w:eastAsia="Calibri" w:hAnsi="Calibri" w:hint="cs"/>
          <w:sz w:val="24"/>
          <w:szCs w:val="24"/>
          <w:rtl/>
        </w:rPr>
        <w:t xml:space="preserve">מותר, משום </w:t>
      </w:r>
      <w:r w:rsidR="00737E2E">
        <w:rPr>
          <w:rFonts w:ascii="Calibri" w:eastAsia="Calibri" w:hAnsi="Calibri" w:hint="cs"/>
          <w:sz w:val="24"/>
          <w:szCs w:val="24"/>
          <w:rtl/>
        </w:rPr>
        <w:t xml:space="preserve">דהוי </w:t>
      </w:r>
      <w:r w:rsidR="00DF1721" w:rsidRPr="00DF1721">
        <w:rPr>
          <w:rFonts w:ascii="Calibri" w:eastAsia="Calibri" w:hAnsi="Calibri" w:hint="cs"/>
          <w:sz w:val="24"/>
          <w:szCs w:val="24"/>
          <w:rtl/>
        </w:rPr>
        <w:t>השבת אבידה].</w:t>
      </w:r>
    </w:p>
    <w:p w:rsidR="007D448B" w:rsidRPr="007D448B" w:rsidRDefault="00124519" w:rsidP="007E3343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ז. לרבנן מותר, לרבי יוסי אסור אם נדר ואח"כ הפקיר. [</w:t>
      </w:r>
      <w:r w:rsidR="007E3343">
        <w:rPr>
          <w:rFonts w:ascii="Calibri" w:eastAsia="Calibri" w:hAnsi="Calibri" w:hint="cs"/>
          <w:sz w:val="24"/>
          <w:szCs w:val="24"/>
          <w:rtl/>
        </w:rPr>
        <w:t xml:space="preserve">וטעם רבי יוסי, </w:t>
      </w:r>
      <w:r>
        <w:rPr>
          <w:rFonts w:ascii="Calibri" w:eastAsia="Calibri" w:hAnsi="Calibri" w:hint="cs"/>
          <w:sz w:val="24"/>
          <w:szCs w:val="24"/>
          <w:rtl/>
        </w:rPr>
        <w:t xml:space="preserve">לרבי יוחנן כיון שהפקר אינו מוציא מרשותו, ורק אם הפקיר תחילה אין דעתו לאסור מה שהפקיר, ולרבא </w:t>
      </w:r>
      <w:bookmarkStart w:id="0" w:name="_GoBack"/>
      <w:bookmarkEnd w:id="0"/>
      <w:r>
        <w:rPr>
          <w:rFonts w:ascii="Calibri" w:eastAsia="Calibri" w:hAnsi="Calibri" w:hint="cs"/>
          <w:sz w:val="24"/>
          <w:szCs w:val="24"/>
          <w:rtl/>
        </w:rPr>
        <w:t>שמא יפקיר רק אדעתא דהמודר, ולא שייך לגזור אם הפקירו קודם הנדר].</w:t>
      </w:r>
    </w:p>
    <w:p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:rsidR="007822C2" w:rsidRDefault="007822C2"/>
    <w:sectPr w:rsidR="007822C2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24519"/>
    <w:rsid w:val="003940F7"/>
    <w:rsid w:val="004A7BE6"/>
    <w:rsid w:val="004E2F37"/>
    <w:rsid w:val="00535D84"/>
    <w:rsid w:val="0065216F"/>
    <w:rsid w:val="00737E2E"/>
    <w:rsid w:val="00741B50"/>
    <w:rsid w:val="007822C2"/>
    <w:rsid w:val="007D448B"/>
    <w:rsid w:val="007E3343"/>
    <w:rsid w:val="008B3A5B"/>
    <w:rsid w:val="00922E9D"/>
    <w:rsid w:val="009A280B"/>
    <w:rsid w:val="00AE4658"/>
    <w:rsid w:val="00B47B7A"/>
    <w:rsid w:val="00B704B8"/>
    <w:rsid w:val="00BA2259"/>
    <w:rsid w:val="00BA2D44"/>
    <w:rsid w:val="00D464B5"/>
    <w:rsid w:val="00D806EA"/>
    <w:rsid w:val="00DF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1875F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319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10</cp:revision>
  <dcterms:created xsi:type="dcterms:W3CDTF">2022-12-06T08:06:00Z</dcterms:created>
  <dcterms:modified xsi:type="dcterms:W3CDTF">2022-12-07T08:38:00Z</dcterms:modified>
</cp:coreProperties>
</file>