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6E036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6E0360">
        <w:rPr>
          <w:rFonts w:ascii="Times New Roman" w:eastAsia="Calibri" w:hAnsi="Times New Roman" w:cs="Times New Roman" w:hint="cs"/>
          <w:sz w:val="32"/>
          <w:szCs w:val="32"/>
          <w:rtl/>
        </w:rPr>
        <w:t>פו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6E0360">
        <w:rPr>
          <w:rFonts w:ascii="Times New Roman" w:eastAsia="Calibri" w:hAnsi="Times New Roman" w:cs="Times New Roman" w:hint="cs"/>
          <w:sz w:val="32"/>
          <w:szCs w:val="32"/>
          <w:rtl/>
        </w:rPr>
        <w:t>נזיר י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AE1E56" w:rsidRPr="00AE1E56" w:rsidRDefault="007D448B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AE1E56" w:rsidRPr="00AE1E56">
        <w:rPr>
          <w:rFonts w:ascii="Times New Roman" w:eastAsia="Calibri" w:hAnsi="Times New Roman" w:cs="Times New Roman" w:hint="cs"/>
          <w:sz w:val="32"/>
          <w:szCs w:val="32"/>
          <w:rtl/>
        </w:rPr>
        <w:t>היה סבור בטעות שאשתו נדרה והפר לה, ונתברר לו שבתו נדרה, האם מועילה ההפרה.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) אלמנה שאמרה הריני נזירה לכשאנשא</w:t>
      </w:r>
      <w:r w:rsidR="00BC2E3D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</w:t>
      </w:r>
      <w:r w:rsidR="004D35D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שאמרה 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הריני נזירה לאחר שלשים</w:t>
      </w:r>
      <w:r w:rsidR="00BC2E3D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</w:t>
      </w:r>
      <w:r w:rsidR="00BC2E3D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אחר כך 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נשאת, האם בעלה יכול להפר לה.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) האומרת טמאה אני למשנה אחרונה שאינה נאמנת, האם יכולה לאכול בתרומה.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E1E56" w:rsidRPr="00AE1E56" w:rsidRDefault="00AE1E56" w:rsidP="000153EA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) האומר אהא וחשב בלבו להיות נזיר</w:t>
      </w:r>
      <w:r w:rsidR="00EA22F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ואין נזיר עובר לפניו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, </w:t>
      </w:r>
      <w:r w:rsidR="00005E07">
        <w:rPr>
          <w:rFonts w:ascii="Times New Roman" w:eastAsia="Calibri" w:hAnsi="Times New Roman" w:cs="Times New Roman" w:hint="cs"/>
          <w:sz w:val="32"/>
          <w:szCs w:val="32"/>
          <w:rtl/>
        </w:rPr>
        <w:t>האם חלה עליו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נזיר</w:t>
      </w:r>
      <w:r w:rsidR="00005E07">
        <w:rPr>
          <w:rFonts w:ascii="Times New Roman" w:eastAsia="Calibri" w:hAnsi="Times New Roman" w:cs="Times New Roman" w:hint="cs"/>
          <w:sz w:val="32"/>
          <w:szCs w:val="32"/>
          <w:rtl/>
        </w:rPr>
        <w:t>ות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E1E56" w:rsidRPr="00AE1E56" w:rsidRDefault="00AE1E56" w:rsidP="005D08D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) האם ל</w:t>
      </w:r>
      <w:r w:rsidR="005D08D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פי דברי הגמ' 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מותר </w:t>
      </w:r>
      <w:r w:rsidR="005D08D7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5D08D7" w:rsidRPr="00AE1E5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נזיר 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לשתות יין בקידוש.</w:t>
      </w:r>
    </w:p>
    <w:p w:rsidR="007D448B" w:rsidRPr="007D448B" w:rsidRDefault="007D448B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אמר הריני נזיר מכאן עד מקום פלוני, כמה זמן קיבל עליו להיות נזיר.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AE1E56" w:rsidRPr="00AE1E56" w:rsidRDefault="00AE1E56" w:rsidP="00AA363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Pr="00AE1E56">
        <w:rPr>
          <w:rFonts w:ascii="Times New Roman" w:eastAsia="Calibri" w:hAnsi="Times New Roman" w:cs="Times New Roman" w:hint="cs"/>
          <w:sz w:val="32"/>
          <w:szCs w:val="32"/>
          <w:rtl/>
        </w:rPr>
        <w:t>) האומר הריני נזיר מן הגרוגרות ומן הדבילה, מה דינו לדעת בית הלל.</w:t>
      </w:r>
    </w:p>
    <w:p w:rsidR="007D448B" w:rsidRPr="007D448B" w:rsidRDefault="007D448B" w:rsidP="00AE1E56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6E0360" w:rsidRPr="006E0360" w:rsidRDefault="006E0360" w:rsidP="006E036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6E0360">
        <w:rPr>
          <w:rFonts w:asciiTheme="majorBidi" w:hAnsiTheme="majorBidi" w:cstheme="majorBidi" w:hint="cs"/>
          <w:sz w:val="32"/>
          <w:szCs w:val="32"/>
          <w:rtl/>
        </w:rPr>
        <w:t>המבחן הבא על נזיר י: - כד: יתקיים בס"ד ביום חמישי כ"ה שבט</w:t>
      </w: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AE1E56" w:rsidRPr="00AE1E56" w:rsidRDefault="007D448B" w:rsidP="00AE1E56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AE1E56" w:rsidRPr="00AE1E56">
        <w:rPr>
          <w:rFonts w:ascii="Calibri" w:eastAsia="Calibri" w:hAnsi="Calibri" w:hint="cs"/>
          <w:sz w:val="24"/>
          <w:szCs w:val="24"/>
          <w:rtl/>
        </w:rPr>
        <w:t xml:space="preserve">מהני, אא"כ פירשו לו שאשתו נדרה, ונודע לו </w:t>
      </w:r>
      <w:r w:rsidR="00EA5F19">
        <w:rPr>
          <w:rFonts w:ascii="Calibri" w:eastAsia="Calibri" w:hAnsi="Calibri" w:hint="cs"/>
          <w:sz w:val="24"/>
          <w:szCs w:val="24"/>
          <w:rtl/>
        </w:rPr>
        <w:t xml:space="preserve">רק </w:t>
      </w:r>
      <w:r w:rsidR="00AE1E56" w:rsidRPr="00AE1E56">
        <w:rPr>
          <w:rFonts w:ascii="Calibri" w:eastAsia="Calibri" w:hAnsi="Calibri" w:hint="cs"/>
          <w:sz w:val="24"/>
          <w:szCs w:val="24"/>
          <w:rtl/>
        </w:rPr>
        <w:t xml:space="preserve">לאחר כ"ד </w:t>
      </w:r>
      <w:r w:rsidR="00EA5F19">
        <w:rPr>
          <w:rFonts w:ascii="Calibri" w:eastAsia="Calibri" w:hAnsi="Calibri" w:hint="cs"/>
          <w:sz w:val="24"/>
          <w:szCs w:val="24"/>
          <w:rtl/>
        </w:rPr>
        <w:t xml:space="preserve">מההפרה </w:t>
      </w:r>
      <w:r w:rsidR="00AE1E56" w:rsidRPr="00AE1E56">
        <w:rPr>
          <w:rFonts w:ascii="Calibri" w:eastAsia="Calibri" w:hAnsi="Calibri" w:hint="cs"/>
          <w:sz w:val="24"/>
          <w:szCs w:val="24"/>
          <w:rtl/>
        </w:rPr>
        <w:t>שבתו נדרה.</w:t>
      </w:r>
    </w:p>
    <w:p w:rsidR="00AE1E56" w:rsidRPr="00AE1E56" w:rsidRDefault="00AE1E56" w:rsidP="00A4309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204147">
        <w:rPr>
          <w:rFonts w:ascii="Calibri" w:eastAsia="Calibri" w:hAnsi="Calibri" w:hint="cs"/>
          <w:sz w:val="24"/>
          <w:szCs w:val="24"/>
          <w:rtl/>
        </w:rPr>
        <w:t xml:space="preserve">אמרה </w:t>
      </w:r>
      <w:r w:rsidRPr="00AE1E56">
        <w:rPr>
          <w:rFonts w:ascii="Calibri" w:eastAsia="Calibri" w:hAnsi="Calibri" w:hint="cs"/>
          <w:sz w:val="24"/>
          <w:szCs w:val="24"/>
          <w:rtl/>
        </w:rPr>
        <w:t>לכשאנשא, לר"ע אינו יכול</w:t>
      </w:r>
      <w:r w:rsidR="00204147">
        <w:rPr>
          <w:rFonts w:ascii="Calibri" w:eastAsia="Calibri" w:hAnsi="Calibri" w:hint="cs"/>
          <w:sz w:val="24"/>
          <w:szCs w:val="24"/>
          <w:rtl/>
        </w:rPr>
        <w:t xml:space="preserve"> להפר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 ולרבי ישמעאל יכול</w:t>
      </w:r>
      <w:r w:rsidR="00204147">
        <w:rPr>
          <w:rFonts w:ascii="Calibri" w:eastAsia="Calibri" w:hAnsi="Calibri" w:hint="cs"/>
          <w:sz w:val="24"/>
          <w:szCs w:val="24"/>
          <w:rtl/>
        </w:rPr>
        <w:t xml:space="preserve"> להפר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204147">
        <w:rPr>
          <w:rFonts w:ascii="Calibri" w:eastAsia="Calibri" w:hAnsi="Calibri" w:hint="cs"/>
          <w:sz w:val="24"/>
          <w:szCs w:val="24"/>
          <w:rtl/>
        </w:rPr>
        <w:t xml:space="preserve">אמרה 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לאחר שלשים </w:t>
      </w:r>
      <w:r w:rsidR="0010100D">
        <w:rPr>
          <w:rFonts w:ascii="Calibri" w:eastAsia="Calibri" w:hAnsi="Calibri" w:hint="cs"/>
          <w:sz w:val="24"/>
          <w:szCs w:val="24"/>
          <w:rtl/>
        </w:rPr>
        <w:t>לרב חסדא תלוי ג"כ במחלוקת ר"ע ורי"ש, ו</w:t>
      </w:r>
      <w:r w:rsidR="00A43094">
        <w:rPr>
          <w:rFonts w:ascii="Calibri" w:eastAsia="Calibri" w:hAnsi="Calibri" w:hint="cs"/>
          <w:sz w:val="24"/>
          <w:szCs w:val="24"/>
          <w:rtl/>
        </w:rPr>
        <w:t xml:space="preserve">מסקנת </w:t>
      </w:r>
      <w:r w:rsidR="0010100D">
        <w:rPr>
          <w:rFonts w:ascii="Calibri" w:eastAsia="Calibri" w:hAnsi="Calibri" w:hint="cs"/>
          <w:sz w:val="24"/>
          <w:szCs w:val="24"/>
          <w:rtl/>
        </w:rPr>
        <w:t xml:space="preserve">אביי </w:t>
      </w:r>
      <w:r w:rsidR="00A43094">
        <w:rPr>
          <w:rFonts w:ascii="Calibri" w:eastAsia="Calibri" w:hAnsi="Calibri" w:hint="cs"/>
          <w:sz w:val="24"/>
          <w:szCs w:val="24"/>
          <w:rtl/>
        </w:rPr>
        <w:t>ד</w:t>
      </w:r>
      <w:r w:rsidRPr="00AE1E56">
        <w:rPr>
          <w:rFonts w:ascii="Calibri" w:eastAsia="Calibri" w:hAnsi="Calibri" w:hint="cs"/>
          <w:sz w:val="24"/>
          <w:szCs w:val="24"/>
          <w:rtl/>
        </w:rPr>
        <w:t>לכו"ע אינו יכול להפר.</w:t>
      </w:r>
    </w:p>
    <w:p w:rsidR="00AE1E56" w:rsidRPr="00AE1E56" w:rsidRDefault="00AE1E56" w:rsidP="00AE1E5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AE1E56">
        <w:rPr>
          <w:rFonts w:ascii="Calibri" w:eastAsia="Calibri" w:hAnsi="Calibri" w:hint="cs"/>
          <w:sz w:val="24"/>
          <w:szCs w:val="24"/>
          <w:rtl/>
        </w:rPr>
        <w:t>. לרב ששת אוכלת כל זמן שנשואה לבעלה, ולרבא אינה אוכלת.</w:t>
      </w:r>
    </w:p>
    <w:p w:rsidR="00AE1E56" w:rsidRPr="00AE1E56" w:rsidRDefault="00AE1E56" w:rsidP="00AE1E5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AE1E56">
        <w:rPr>
          <w:rFonts w:ascii="Calibri" w:eastAsia="Calibri" w:hAnsi="Calibri" w:hint="cs"/>
          <w:sz w:val="24"/>
          <w:szCs w:val="24"/>
          <w:rtl/>
        </w:rPr>
        <w:t>. למ"ד ידים שאין מוכיחות הווין ידים הוי נזיר, ולמ"ד לא הווין ידים לא הוי נזיר אא"כ נזיר עובר לפניו.</w:t>
      </w:r>
    </w:p>
    <w:p w:rsidR="00AE1E56" w:rsidRPr="00AE1E56" w:rsidRDefault="00AE1E56" w:rsidP="00EC26A2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. לפי' הראשון בתוס' מותר, </w:t>
      </w:r>
      <w:r w:rsidR="00EC26A2" w:rsidRPr="00AE1E56">
        <w:rPr>
          <w:rFonts w:ascii="Calibri" w:eastAsia="Calibri" w:hAnsi="Calibri" w:hint="cs"/>
          <w:sz w:val="24"/>
          <w:szCs w:val="24"/>
          <w:rtl/>
        </w:rPr>
        <w:t>וכ"כ המפרש</w:t>
      </w:r>
      <w:r w:rsidR="00EC26A2">
        <w:rPr>
          <w:rFonts w:ascii="Calibri" w:eastAsia="Calibri" w:hAnsi="Calibri" w:hint="cs"/>
          <w:sz w:val="24"/>
          <w:szCs w:val="24"/>
          <w:rtl/>
        </w:rPr>
        <w:t>.</w:t>
      </w:r>
      <w:r w:rsidR="00EC26A2" w:rsidRPr="00AE1E56">
        <w:rPr>
          <w:rFonts w:ascii="Calibri" w:eastAsia="Calibri" w:hAnsi="Calibri" w:hint="cs"/>
          <w:sz w:val="24"/>
          <w:szCs w:val="24"/>
          <w:rtl/>
        </w:rPr>
        <w:t xml:space="preserve"> </w:t>
      </w:r>
      <w:r w:rsidRPr="00AE1E56">
        <w:rPr>
          <w:rFonts w:ascii="Calibri" w:eastAsia="Calibri" w:hAnsi="Calibri" w:hint="cs"/>
          <w:sz w:val="24"/>
          <w:szCs w:val="24"/>
          <w:rtl/>
        </w:rPr>
        <w:t>לר"ת בתוס' אסור.</w:t>
      </w:r>
    </w:p>
    <w:p w:rsidR="00AE1E56" w:rsidRPr="00AE1E56" w:rsidRDefault="00AE1E56" w:rsidP="005556C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. אם </w:t>
      </w:r>
      <w:r w:rsidR="00DF54A8">
        <w:rPr>
          <w:rFonts w:ascii="Calibri" w:eastAsia="Calibri" w:hAnsi="Calibri" w:hint="cs"/>
          <w:sz w:val="24"/>
          <w:szCs w:val="24"/>
          <w:rtl/>
        </w:rPr>
        <w:t>לא החזיק בדרך קיבל נזירות אחת</w:t>
      </w:r>
      <w:r w:rsidRPr="00AE1E56">
        <w:rPr>
          <w:rFonts w:ascii="Calibri" w:eastAsia="Calibri" w:hAnsi="Calibri" w:hint="cs"/>
          <w:sz w:val="24"/>
          <w:szCs w:val="24"/>
          <w:rtl/>
        </w:rPr>
        <w:t xml:space="preserve">. ואם החזיק בדרך, </w:t>
      </w:r>
      <w:r w:rsidR="005556CE">
        <w:rPr>
          <w:rFonts w:ascii="Calibri" w:eastAsia="Calibri" w:hAnsi="Calibri" w:hint="cs"/>
          <w:sz w:val="24"/>
          <w:szCs w:val="24"/>
          <w:rtl/>
        </w:rPr>
        <w:t xml:space="preserve">הרי הוא </w:t>
      </w:r>
      <w:r w:rsidRPr="00AE1E56">
        <w:rPr>
          <w:rFonts w:ascii="Calibri" w:eastAsia="Calibri" w:hAnsi="Calibri" w:hint="cs"/>
          <w:sz w:val="24"/>
          <w:szCs w:val="24"/>
          <w:rtl/>
        </w:rPr>
        <w:t>נזיר כמנין הימים</w:t>
      </w:r>
      <w:r w:rsidR="005556CE">
        <w:rPr>
          <w:rFonts w:ascii="Calibri" w:eastAsia="Calibri" w:hAnsi="Calibri" w:hint="cs"/>
          <w:sz w:val="24"/>
          <w:szCs w:val="24"/>
          <w:rtl/>
        </w:rPr>
        <w:t xml:space="preserve"> שצריך לילך עד אותו מקום, ולכל הפחות ל' יום</w:t>
      </w:r>
      <w:r w:rsidRPr="00AE1E56">
        <w:rPr>
          <w:rFonts w:ascii="Calibri" w:eastAsia="Calibri" w:hAnsi="Calibri" w:hint="cs"/>
          <w:sz w:val="24"/>
          <w:szCs w:val="24"/>
          <w:rtl/>
        </w:rPr>
        <w:t>.</w:t>
      </w:r>
    </w:p>
    <w:p w:rsidR="00AE1E56" w:rsidRPr="00AE1E56" w:rsidRDefault="00AE1E56" w:rsidP="00AE1E56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Pr="00AE1E56">
        <w:rPr>
          <w:rFonts w:ascii="Calibri" w:eastAsia="Calibri" w:hAnsi="Calibri" w:hint="cs"/>
          <w:sz w:val="24"/>
          <w:szCs w:val="24"/>
          <w:rtl/>
        </w:rPr>
        <w:t>. למתני' לא הוי נזיר. לרבי נתן בברייתא לל"ק, נדור ואינו נזיר, לל"ב אינו כלום.</w:t>
      </w:r>
    </w:p>
    <w:p w:rsidR="007D448B" w:rsidRPr="00AE1E56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05E07"/>
    <w:rsid w:val="000153EA"/>
    <w:rsid w:val="000F4DBB"/>
    <w:rsid w:val="0010100D"/>
    <w:rsid w:val="00204147"/>
    <w:rsid w:val="00243025"/>
    <w:rsid w:val="003940F7"/>
    <w:rsid w:val="004651DA"/>
    <w:rsid w:val="004D1A4D"/>
    <w:rsid w:val="004D35D1"/>
    <w:rsid w:val="004E2F37"/>
    <w:rsid w:val="00535D84"/>
    <w:rsid w:val="005556CE"/>
    <w:rsid w:val="005D08D7"/>
    <w:rsid w:val="006E0360"/>
    <w:rsid w:val="00741B50"/>
    <w:rsid w:val="007751DF"/>
    <w:rsid w:val="007822C2"/>
    <w:rsid w:val="007D448B"/>
    <w:rsid w:val="008B3A5B"/>
    <w:rsid w:val="009A280B"/>
    <w:rsid w:val="00A43094"/>
    <w:rsid w:val="00AA363C"/>
    <w:rsid w:val="00AE1E56"/>
    <w:rsid w:val="00B47B7A"/>
    <w:rsid w:val="00B704B8"/>
    <w:rsid w:val="00BA2D44"/>
    <w:rsid w:val="00BC2E3D"/>
    <w:rsid w:val="00C35064"/>
    <w:rsid w:val="00D806EA"/>
    <w:rsid w:val="00DF54A8"/>
    <w:rsid w:val="00E94F2D"/>
    <w:rsid w:val="00EA22F7"/>
    <w:rsid w:val="00EA5F19"/>
    <w:rsid w:val="00EC26A2"/>
    <w:rsid w:val="00F30FF9"/>
    <w:rsid w:val="00F7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7FA2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334</Words>
  <Characters>1672</Characters>
  <Application>Microsoft Office Word</Application>
  <DocSecurity>0</DocSecurity>
  <Lines>13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24</cp:revision>
  <dcterms:created xsi:type="dcterms:W3CDTF">2023-01-30T08:59:00Z</dcterms:created>
  <dcterms:modified xsi:type="dcterms:W3CDTF">2023-02-01T09:52:00Z</dcterms:modified>
</cp:coreProperties>
</file>