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2E76C0" w:rsidP="00C673B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673B9" w:rsidRPr="00C673B9">
        <w:rPr>
          <w:rFonts w:asciiTheme="majorBidi" w:hAnsiTheme="majorBidi" w:cstheme="majorBidi" w:hint="cs"/>
          <w:sz w:val="32"/>
          <w:szCs w:val="32"/>
          <w:rtl/>
        </w:rPr>
        <w:t>יא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673B9">
        <w:rPr>
          <w:rFonts w:asciiTheme="majorBidi" w:hAnsiTheme="majorBidi" w:cstheme="majorBidi" w:hint="cs"/>
          <w:sz w:val="32"/>
          <w:szCs w:val="32"/>
          <w:rtl/>
        </w:rPr>
        <w:t>כה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0A579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A5792" w:rsidRPr="000A5792">
        <w:rPr>
          <w:rFonts w:asciiTheme="majorBidi" w:hAnsiTheme="majorBidi" w:cstheme="majorBidi" w:hint="cs"/>
          <w:sz w:val="32"/>
          <w:szCs w:val="32"/>
          <w:rtl/>
        </w:rPr>
        <w:t>האם למסקנת הגמ' יכול הרב לומר לעבד עשה עמי ואיני זנך.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>האם מועיל קנין מעמד שלשתן רק בפקדון או גם במלוה.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>גידוד חמשה ומחיצה חמשה מצטרפים לענין שבת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>האם כתובה נכתבת ביום ונחתמת בלילה.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>האם פרשת גיטין שכתובה בספר תורה יכולה לשמש כגט אשה, ומדוע.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 xml:space="preserve">שטר </w:t>
      </w:r>
      <w:r w:rsidR="000A5792">
        <w:rPr>
          <w:rFonts w:asciiTheme="majorBidi" w:hAnsiTheme="majorBidi" w:cstheme="majorBidi" w:hint="cs"/>
          <w:sz w:val="32"/>
          <w:szCs w:val="32"/>
          <w:rtl/>
        </w:rPr>
        <w:t xml:space="preserve">חוב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>שנכתב על דבר שיכול להזדייף כשר או פסול.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A5792" w:rsidRPr="00496CDC">
        <w:rPr>
          <w:rFonts w:asciiTheme="majorBidi" w:hAnsiTheme="majorBidi" w:cstheme="majorBidi" w:hint="cs"/>
          <w:sz w:val="32"/>
          <w:szCs w:val="32"/>
          <w:rtl/>
        </w:rPr>
        <w:t>באיזה אופן אשה שמביאה ממדינת הים גט לעצמה אומרת בפני נכתב ובפני נחתם.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C673B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673B9">
        <w:rPr>
          <w:rFonts w:asciiTheme="majorBidi" w:hAnsiTheme="majorBidi" w:cstheme="majorBidi" w:hint="cs"/>
          <w:sz w:val="32"/>
          <w:szCs w:val="32"/>
          <w:rtl/>
        </w:rPr>
        <w:t>כה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673B9">
        <w:rPr>
          <w:rFonts w:asciiTheme="majorBidi" w:hAnsiTheme="majorBidi" w:cstheme="majorBidi" w:hint="cs"/>
          <w:sz w:val="32"/>
          <w:szCs w:val="32"/>
          <w:rtl/>
        </w:rPr>
        <w:t>לט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י"א שבט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0A5792" w:rsidRPr="00496CDC" w:rsidRDefault="005E2C8D" w:rsidP="000A5792">
      <w:pPr>
        <w:rPr>
          <w:rtl/>
        </w:rPr>
      </w:pPr>
      <w:r>
        <w:rPr>
          <w:rFonts w:hint="cs"/>
          <w:rtl/>
        </w:rPr>
        <w:t xml:space="preserve">א. </w:t>
      </w:r>
      <w:r w:rsidR="000A5792" w:rsidRPr="00496CDC">
        <w:rPr>
          <w:rFonts w:hint="cs"/>
          <w:rtl/>
        </w:rPr>
        <w:t>לרב אינו יכול, לריו"ח יכול.</w:t>
      </w:r>
    </w:p>
    <w:p w:rsidR="000A5792" w:rsidRPr="00496CDC" w:rsidRDefault="000A5792" w:rsidP="000A5792">
      <w:pPr>
        <w:rPr>
          <w:rtl/>
        </w:rPr>
      </w:pPr>
      <w:r>
        <w:rPr>
          <w:rFonts w:hint="cs"/>
          <w:rtl/>
        </w:rPr>
        <w:t xml:space="preserve">ב. </w:t>
      </w:r>
      <w:r w:rsidRPr="00496CDC">
        <w:rPr>
          <w:rFonts w:hint="cs"/>
          <w:rtl/>
        </w:rPr>
        <w:t>מחלוקת אמוראים. והמסקנא דאף במלוה.</w:t>
      </w:r>
    </w:p>
    <w:p w:rsidR="000A5792" w:rsidRPr="00496CDC" w:rsidRDefault="000A5792" w:rsidP="000A5792">
      <w:pPr>
        <w:rPr>
          <w:rtl/>
        </w:rPr>
      </w:pPr>
      <w:r>
        <w:rPr>
          <w:rFonts w:hint="cs"/>
          <w:rtl/>
        </w:rPr>
        <w:t xml:space="preserve">ג. </w:t>
      </w:r>
      <w:r w:rsidRPr="00496CDC">
        <w:rPr>
          <w:rFonts w:hint="cs"/>
          <w:rtl/>
        </w:rPr>
        <w:t>לרב חסדא לא מצטרפין, וקיי"ל כמרימר דמצטרפין.</w:t>
      </w:r>
    </w:p>
    <w:p w:rsidR="000A5792" w:rsidRPr="00496CDC" w:rsidRDefault="000A5792" w:rsidP="000A5792">
      <w:pPr>
        <w:rPr>
          <w:rtl/>
        </w:rPr>
      </w:pPr>
      <w:r>
        <w:rPr>
          <w:rFonts w:hint="cs"/>
          <w:rtl/>
        </w:rPr>
        <w:t xml:space="preserve">ד. </w:t>
      </w:r>
      <w:r w:rsidRPr="00496CDC">
        <w:rPr>
          <w:rFonts w:hint="cs"/>
          <w:rtl/>
        </w:rPr>
        <w:t>לשמואל כן, והגמ' דנה דרב שנהג כן, היינו דווקא בעסוקין באותו ענין, ואין הוכחה שסובר כשמואל.</w:t>
      </w:r>
    </w:p>
    <w:p w:rsidR="000A5792" w:rsidRPr="00496CDC" w:rsidRDefault="000A5792" w:rsidP="000A5792">
      <w:pPr>
        <w:rPr>
          <w:rtl/>
        </w:rPr>
      </w:pPr>
      <w:r>
        <w:rPr>
          <w:rFonts w:hint="cs"/>
          <w:rtl/>
        </w:rPr>
        <w:t xml:space="preserve">ה. </w:t>
      </w:r>
      <w:r w:rsidRPr="00496CDC">
        <w:rPr>
          <w:rFonts w:hint="cs"/>
          <w:rtl/>
        </w:rPr>
        <w:t xml:space="preserve">לא, משום </w:t>
      </w:r>
      <w:r>
        <w:rPr>
          <w:rFonts w:hint="cs"/>
          <w:rtl/>
        </w:rPr>
        <w:t>שלא מסתבר שכתבה הספר לשמו</w:t>
      </w:r>
      <w:r w:rsidRPr="00496CDC">
        <w:rPr>
          <w:rFonts w:hint="cs"/>
          <w:rtl/>
        </w:rPr>
        <w:t>, וכן דאין כאן שמו ושמה.</w:t>
      </w:r>
    </w:p>
    <w:p w:rsidR="000A5792" w:rsidRPr="00496CDC" w:rsidRDefault="000A5792" w:rsidP="000A5792">
      <w:pPr>
        <w:rPr>
          <w:rtl/>
        </w:rPr>
      </w:pPr>
      <w:r>
        <w:rPr>
          <w:rFonts w:hint="cs"/>
          <w:rtl/>
        </w:rPr>
        <w:t xml:space="preserve">ו. </w:t>
      </w:r>
      <w:r w:rsidRPr="00496CDC">
        <w:rPr>
          <w:rFonts w:hint="cs"/>
          <w:rtl/>
        </w:rPr>
        <w:t>לר"א דעדי מסירה כרתי, לר' יוחנן</w:t>
      </w:r>
      <w:r w:rsidRPr="000A5792">
        <w:rPr>
          <w:rFonts w:hint="cs"/>
          <w:rtl/>
        </w:rPr>
        <w:t xml:space="preserve"> </w:t>
      </w:r>
      <w:r w:rsidRPr="00496CDC">
        <w:rPr>
          <w:rFonts w:hint="cs"/>
          <w:rtl/>
        </w:rPr>
        <w:t>כשר</w:t>
      </w:r>
      <w:r>
        <w:rPr>
          <w:rFonts w:hint="cs"/>
          <w:rtl/>
        </w:rPr>
        <w:t xml:space="preserve"> ולרבי אלעזר פסול. (ולר"מ דעדי חתימה כרתי פסול)</w:t>
      </w:r>
      <w:bookmarkStart w:id="0" w:name="_GoBack"/>
      <w:bookmarkEnd w:id="0"/>
      <w:r w:rsidRPr="00496CDC">
        <w:rPr>
          <w:rFonts w:hint="cs"/>
          <w:rtl/>
        </w:rPr>
        <w:t>.</w:t>
      </w:r>
    </w:p>
    <w:p w:rsidR="00130531" w:rsidRDefault="000A5792" w:rsidP="000A5792">
      <w:r>
        <w:rPr>
          <w:rFonts w:hint="cs"/>
          <w:rtl/>
        </w:rPr>
        <w:t xml:space="preserve">ז. או </w:t>
      </w:r>
      <w:r w:rsidRPr="00496CDC">
        <w:rPr>
          <w:rFonts w:hint="cs"/>
          <w:rtl/>
        </w:rPr>
        <w:t>שעשאה שליח להולכה, ואמר לה למנות שליח הולכה שממנו תקבל את הגט, או שתאמר בפני ב"ד בפ"נ והם ימנו שליח שיתן לה הגט.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A5792"/>
    <w:rsid w:val="00130531"/>
    <w:rsid w:val="00275D69"/>
    <w:rsid w:val="002E76C0"/>
    <w:rsid w:val="002F2829"/>
    <w:rsid w:val="005A7C92"/>
    <w:rsid w:val="005E2C8D"/>
    <w:rsid w:val="00750B79"/>
    <w:rsid w:val="008E5D26"/>
    <w:rsid w:val="008F25A5"/>
    <w:rsid w:val="00AB11B2"/>
    <w:rsid w:val="00AE3DC6"/>
    <w:rsid w:val="00BE3993"/>
    <w:rsid w:val="00C673B9"/>
    <w:rsid w:val="00CA5F21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2016-01-04T16:29:00Z</dcterms:created>
  <dcterms:modified xsi:type="dcterms:W3CDTF">2016-01-05T07:25:00Z</dcterms:modified>
</cp:coreProperties>
</file>