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5E2C8D" w:rsidRPr="00D3089C" w:rsidRDefault="002E76C0" w:rsidP="00F7637E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גיטין</w:t>
      </w:r>
      <w:r w:rsidR="00750B79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F7637E">
        <w:rPr>
          <w:rFonts w:asciiTheme="majorBidi" w:hAnsiTheme="majorBidi" w:cstheme="majorBidi" w:hint="cs"/>
          <w:sz w:val="32"/>
          <w:szCs w:val="32"/>
          <w:rtl/>
        </w:rPr>
        <w:t>סז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F7637E">
        <w:rPr>
          <w:rFonts w:asciiTheme="majorBidi" w:hAnsiTheme="majorBidi" w:cstheme="majorBidi" w:hint="cs"/>
          <w:sz w:val="32"/>
          <w:szCs w:val="32"/>
          <w:rtl/>
        </w:rPr>
        <w:t>פא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623573">
        <w:rPr>
          <w:rFonts w:asciiTheme="majorBidi" w:hAnsiTheme="majorBidi" w:cstheme="majorBidi" w:hint="cs"/>
          <w:sz w:val="32"/>
          <w:szCs w:val="32"/>
          <w:rtl/>
        </w:rPr>
        <w:t>שחט בו שנים או רוב שנים, ש</w:t>
      </w:r>
      <w:r w:rsidR="00F7637E" w:rsidRPr="00F7637E">
        <w:rPr>
          <w:rFonts w:asciiTheme="majorBidi" w:hAnsiTheme="majorBidi" w:cstheme="majorBidi" w:hint="cs"/>
          <w:sz w:val="32"/>
          <w:szCs w:val="32"/>
          <w:rtl/>
        </w:rPr>
        <w:t>ודאי סופו למות, באיזה אופן יש חיוב גלות ובאיזה אופן אינו גולה.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F7637E" w:rsidRPr="00F7637E">
        <w:rPr>
          <w:rFonts w:asciiTheme="majorBidi" w:hAnsiTheme="majorBidi" w:cstheme="majorBidi" w:hint="cs"/>
          <w:sz w:val="32"/>
          <w:szCs w:val="32"/>
          <w:rtl/>
        </w:rPr>
        <w:t>האם אפשר לגרש אשה שוטה.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F7637E" w:rsidRPr="00F7637E">
        <w:rPr>
          <w:rFonts w:asciiTheme="majorBidi" w:hAnsiTheme="majorBidi" w:cstheme="majorBidi" w:hint="cs"/>
          <w:sz w:val="32"/>
          <w:szCs w:val="32"/>
          <w:rtl/>
        </w:rPr>
        <w:t>הנותן גט לאשתו ע"מ שתתן לו מאתיים זוז וחזר ומחל לה עליהם מה דינה.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F7637E" w:rsidRPr="00F7637E">
        <w:rPr>
          <w:rFonts w:asciiTheme="majorBidi" w:hAnsiTheme="majorBidi" w:cstheme="majorBidi" w:hint="cs"/>
          <w:sz w:val="32"/>
          <w:szCs w:val="32"/>
          <w:rtl/>
        </w:rPr>
        <w:t>האומר לאשתו הרי זה גיטך ע"מ שתשמשי את אבא ב' שנים וחזר ואמר לה בשעת מסירה הרי זה גיטך ע"מ שתתני לי ר' זוז, איזה תנאי צריכה לקיים.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F7637E" w:rsidRPr="00F7637E">
        <w:rPr>
          <w:rFonts w:asciiTheme="majorBidi" w:hAnsiTheme="majorBidi" w:cstheme="majorBidi" w:hint="cs"/>
          <w:sz w:val="32"/>
          <w:szCs w:val="32"/>
          <w:rtl/>
        </w:rPr>
        <w:t>הנותן גט לאשה בחצירה ואינה עומדת בצד חצירה מגורשת או לא.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F7637E" w:rsidRPr="00F7637E">
        <w:rPr>
          <w:rFonts w:asciiTheme="majorBidi" w:hAnsiTheme="majorBidi" w:cstheme="majorBidi" w:hint="cs"/>
          <w:sz w:val="32"/>
          <w:szCs w:val="32"/>
          <w:rtl/>
        </w:rPr>
        <w:t>המגרש את אשתו בגט ישן, האם יכולה לינשא לאחר</w:t>
      </w:r>
      <w:r w:rsidR="00623573">
        <w:rPr>
          <w:rFonts w:asciiTheme="majorBidi" w:hAnsiTheme="majorBidi" w:cstheme="majorBidi" w:hint="cs"/>
          <w:sz w:val="32"/>
          <w:szCs w:val="32"/>
          <w:rtl/>
        </w:rPr>
        <w:t xml:space="preserve"> לכתחילה</w:t>
      </w:r>
      <w:bookmarkStart w:id="0" w:name="_GoBack"/>
      <w:bookmarkEnd w:id="0"/>
      <w:r w:rsidR="00F7637E" w:rsidRPr="00F7637E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F7637E" w:rsidRPr="00F7637E">
        <w:rPr>
          <w:rFonts w:asciiTheme="majorBidi" w:hAnsiTheme="majorBidi" w:cstheme="majorBidi" w:hint="cs"/>
          <w:sz w:val="32"/>
          <w:szCs w:val="32"/>
          <w:rtl/>
        </w:rPr>
        <w:t>האם ניתן להחתים עבד או קרוב בגט קרח שקשריו מרובין מעדיו.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E659C6" w:rsidRPr="00D3089C" w:rsidRDefault="005E2C8D" w:rsidP="00623573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 w:rsidR="00CA5F21">
        <w:rPr>
          <w:rFonts w:asciiTheme="majorBidi" w:hAnsiTheme="majorBidi" w:cstheme="majorBidi" w:hint="cs"/>
          <w:sz w:val="32"/>
          <w:szCs w:val="32"/>
          <w:rtl/>
        </w:rPr>
        <w:t>גיטין</w:t>
      </w:r>
      <w:r w:rsidR="002F2829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F7637E">
        <w:rPr>
          <w:rFonts w:asciiTheme="majorBidi" w:hAnsiTheme="majorBidi" w:cstheme="majorBidi" w:hint="cs"/>
          <w:sz w:val="32"/>
          <w:szCs w:val="32"/>
          <w:rtl/>
        </w:rPr>
        <w:t>פא</w:t>
      </w:r>
      <w:r w:rsidR="002F2829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F7637E">
        <w:rPr>
          <w:rFonts w:asciiTheme="majorBidi" w:hAnsiTheme="majorBidi" w:cstheme="majorBidi" w:hint="cs"/>
          <w:sz w:val="32"/>
          <w:szCs w:val="32"/>
          <w:rtl/>
        </w:rPr>
        <w:t>ק</w:t>
      </w:r>
      <w:r w:rsidR="008F25A5">
        <w:rPr>
          <w:rFonts w:asciiTheme="majorBidi" w:hAnsiTheme="majorBidi" w:cstheme="majorBidi" w:hint="cs"/>
          <w:sz w:val="32"/>
          <w:szCs w:val="32"/>
          <w:rtl/>
        </w:rPr>
        <w:t>י</w:t>
      </w:r>
      <w:r w:rsidR="00F7637E">
        <w:rPr>
          <w:rFonts w:asciiTheme="majorBidi" w:hAnsiTheme="majorBidi" w:cstheme="majorBidi" w:hint="cs"/>
          <w:sz w:val="32"/>
          <w:szCs w:val="32"/>
          <w:rtl/>
        </w:rPr>
        <w:t xml:space="preserve">דושין </w:t>
      </w:r>
      <w:r w:rsidR="00623573">
        <w:rPr>
          <w:rFonts w:asciiTheme="majorBidi" w:hAnsiTheme="majorBidi" w:cstheme="majorBidi" w:hint="cs"/>
          <w:sz w:val="32"/>
          <w:szCs w:val="32"/>
          <w:rtl/>
        </w:rPr>
        <w:t>ו</w:t>
      </w:r>
      <w:r w:rsidR="002F2829">
        <w:rPr>
          <w:rFonts w:asciiTheme="majorBidi" w:hAnsiTheme="majorBidi" w:cstheme="majorBidi" w:hint="cs"/>
          <w:sz w:val="32"/>
          <w:szCs w:val="32"/>
          <w:rtl/>
        </w:rPr>
        <w:t>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 w:rsidR="008F25A5">
        <w:rPr>
          <w:rFonts w:asciiTheme="majorBidi" w:hAnsiTheme="majorBidi" w:cstheme="majorBidi" w:hint="cs"/>
          <w:sz w:val="32"/>
          <w:szCs w:val="32"/>
          <w:rtl/>
        </w:rPr>
        <w:t xml:space="preserve"> חמישי</w:t>
      </w:r>
      <w:r w:rsidR="00E659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623573">
        <w:rPr>
          <w:rFonts w:asciiTheme="majorBidi" w:hAnsiTheme="majorBidi" w:cstheme="majorBidi" w:hint="cs"/>
          <w:sz w:val="32"/>
          <w:szCs w:val="32"/>
          <w:rtl/>
        </w:rPr>
        <w:t>ז' אדר ב'</w:t>
      </w: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Default="005E2C8D" w:rsidP="005E2C8D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F7637E" w:rsidRPr="00F7637E" w:rsidRDefault="00F7637E" w:rsidP="00F7637E">
      <w:pPr>
        <w:rPr>
          <w:rtl/>
        </w:rPr>
      </w:pPr>
      <w:r>
        <w:rPr>
          <w:rFonts w:hint="cs"/>
          <w:rtl/>
        </w:rPr>
        <w:t>א.</w:t>
      </w:r>
      <w:r>
        <w:rPr>
          <w:rFonts w:hint="cs"/>
          <w:rtl/>
        </w:rPr>
        <w:t xml:space="preserve"> </w:t>
      </w:r>
      <w:r w:rsidRPr="00F7637E">
        <w:rPr>
          <w:rFonts w:hint="cs"/>
          <w:rtl/>
        </w:rPr>
        <w:t>שחטו בחוץ ופירכס אינו גולה, שמא הרוח בלבלתו או שמא הפירכוס קירב את מיתתו. ואם שחטו בבית של שיש או שלא פירכס, תלוי בטעמים אלו שנתנו האמוראים.</w:t>
      </w:r>
    </w:p>
    <w:p w:rsidR="00F7637E" w:rsidRPr="00F7637E" w:rsidRDefault="00F7637E" w:rsidP="00F7637E">
      <w:pPr>
        <w:rPr>
          <w:rtl/>
        </w:rPr>
      </w:pPr>
      <w:r>
        <w:rPr>
          <w:rFonts w:hint="cs"/>
          <w:rtl/>
        </w:rPr>
        <w:t xml:space="preserve">ב. </w:t>
      </w:r>
      <w:r w:rsidRPr="00F7637E">
        <w:rPr>
          <w:rFonts w:hint="cs"/>
          <w:rtl/>
        </w:rPr>
        <w:t>מדאו' כן, מדרבנן לא שלא ינהגו בה מנהג הפקר.</w:t>
      </w:r>
    </w:p>
    <w:p w:rsidR="00F7637E" w:rsidRPr="00F7637E" w:rsidRDefault="00F7637E" w:rsidP="00F7637E">
      <w:pPr>
        <w:rPr>
          <w:rtl/>
        </w:rPr>
      </w:pPr>
      <w:r>
        <w:rPr>
          <w:rFonts w:hint="cs"/>
          <w:rtl/>
        </w:rPr>
        <w:t xml:space="preserve">ג. </w:t>
      </w:r>
      <w:r w:rsidRPr="00F7637E">
        <w:rPr>
          <w:rFonts w:hint="cs"/>
          <w:rtl/>
        </w:rPr>
        <w:t>בעיא בגמ' וענה לו שאינה מגורשת.</w:t>
      </w:r>
    </w:p>
    <w:p w:rsidR="00F7637E" w:rsidRPr="00F7637E" w:rsidRDefault="00F7637E" w:rsidP="00F7637E">
      <w:pPr>
        <w:rPr>
          <w:rtl/>
        </w:rPr>
      </w:pPr>
      <w:r>
        <w:rPr>
          <w:rFonts w:hint="cs"/>
          <w:rtl/>
        </w:rPr>
        <w:t>ד.</w:t>
      </w:r>
      <w:r>
        <w:rPr>
          <w:rFonts w:hint="cs"/>
          <w:rtl/>
        </w:rPr>
        <w:t xml:space="preserve"> </w:t>
      </w:r>
      <w:r w:rsidRPr="00F7637E">
        <w:rPr>
          <w:rFonts w:hint="cs"/>
          <w:rtl/>
        </w:rPr>
        <w:t>יכולה לקיים איזה תנאי שתרצה ובזה יחולו הגירושין.</w:t>
      </w:r>
    </w:p>
    <w:p w:rsidR="00F7637E" w:rsidRPr="00F7637E" w:rsidRDefault="00F7637E" w:rsidP="00F7637E">
      <w:pPr>
        <w:rPr>
          <w:rtl/>
        </w:rPr>
      </w:pPr>
      <w:r>
        <w:rPr>
          <w:rFonts w:hint="cs"/>
          <w:rtl/>
        </w:rPr>
        <w:t xml:space="preserve">ה. </w:t>
      </w:r>
      <w:r w:rsidRPr="00F7637E">
        <w:rPr>
          <w:rFonts w:hint="cs"/>
          <w:rtl/>
        </w:rPr>
        <w:t>מחלוקת אמוראים.</w:t>
      </w:r>
    </w:p>
    <w:p w:rsidR="00F7637E" w:rsidRPr="00F7637E" w:rsidRDefault="00F7637E" w:rsidP="00F7637E">
      <w:pPr>
        <w:rPr>
          <w:rtl/>
        </w:rPr>
      </w:pPr>
      <w:r>
        <w:rPr>
          <w:rFonts w:hint="cs"/>
          <w:rtl/>
        </w:rPr>
        <w:t xml:space="preserve">ו. </w:t>
      </w:r>
      <w:r w:rsidRPr="00F7637E">
        <w:rPr>
          <w:rFonts w:hint="cs"/>
          <w:rtl/>
        </w:rPr>
        <w:t>שתי לישנות בגמ', אי תינשא לכתחילה או ש</w:t>
      </w:r>
      <w:r w:rsidR="00623573">
        <w:rPr>
          <w:rFonts w:hint="cs"/>
          <w:rtl/>
        </w:rPr>
        <w:t xml:space="preserve">רק </w:t>
      </w:r>
      <w:r w:rsidRPr="00F7637E">
        <w:rPr>
          <w:rFonts w:hint="cs"/>
          <w:rtl/>
        </w:rPr>
        <w:t>אם נשאת לא תצא.</w:t>
      </w:r>
    </w:p>
    <w:p w:rsidR="00F7637E" w:rsidRPr="00F7637E" w:rsidRDefault="00F7637E" w:rsidP="00F7637E">
      <w:pPr>
        <w:rPr>
          <w:rtl/>
        </w:rPr>
      </w:pPr>
      <w:r>
        <w:rPr>
          <w:rFonts w:hint="cs"/>
          <w:rtl/>
        </w:rPr>
        <w:t xml:space="preserve">ז. </w:t>
      </w:r>
      <w:r w:rsidRPr="00F7637E">
        <w:rPr>
          <w:rFonts w:hint="cs"/>
          <w:rtl/>
        </w:rPr>
        <w:t>לבן ננס אף עבד, לר"ע רק קרוב. ואם לא היו אלא שני עדים, נחלקו אמוראים אם צריך שהשלישי יהיה קרוב או כשר, די"א ששלשה במקושר כשנים בפשוט.</w:t>
      </w:r>
    </w:p>
    <w:p w:rsidR="00F7637E" w:rsidRPr="00F7637E" w:rsidRDefault="00F7637E" w:rsidP="00F7637E"/>
    <w:p w:rsidR="00F7637E" w:rsidRPr="00F7637E" w:rsidRDefault="00F7637E"/>
    <w:sectPr w:rsidR="00F7637E" w:rsidRPr="00F7637E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C8D"/>
    <w:rsid w:val="00130531"/>
    <w:rsid w:val="002E76C0"/>
    <w:rsid w:val="002F2829"/>
    <w:rsid w:val="00410C7B"/>
    <w:rsid w:val="005A7C92"/>
    <w:rsid w:val="005E2C8D"/>
    <w:rsid w:val="00623573"/>
    <w:rsid w:val="00750B79"/>
    <w:rsid w:val="008E5D26"/>
    <w:rsid w:val="008F25A5"/>
    <w:rsid w:val="00AE3DC6"/>
    <w:rsid w:val="00BE3993"/>
    <w:rsid w:val="00CA5F21"/>
    <w:rsid w:val="00DB21F8"/>
    <w:rsid w:val="00E15EFC"/>
    <w:rsid w:val="00E55BCA"/>
    <w:rsid w:val="00E659C6"/>
    <w:rsid w:val="00F76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2F7AE5-7BD8-4D41-9D89-70B74532A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="David"/>
        <w:sz w:val="22"/>
        <w:szCs w:val="22"/>
        <w:lang w:val="en-US" w:eastAsia="en-US" w:bidi="he-IL"/>
      </w:rPr>
    </w:rPrDefault>
    <w:pPrDefault>
      <w:pPr>
        <w:bidi/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2C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763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308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2016-03-01T07:37:00Z</dcterms:created>
  <dcterms:modified xsi:type="dcterms:W3CDTF">2016-03-01T07:42:00Z</dcterms:modified>
</cp:coreProperties>
</file>