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C14" w:rsidRPr="00D3089C" w:rsidRDefault="009A7C14" w:rsidP="0077367E">
      <w:pPr>
        <w:spacing w:line="276" w:lineRule="auto"/>
        <w:rPr>
          <w:sz w:val="20"/>
          <w:szCs w:val="20"/>
          <w:rtl/>
        </w:rPr>
      </w:pPr>
    </w:p>
    <w:p w:rsidR="009A7C14" w:rsidRPr="00D3089C" w:rsidRDefault="009A7C14" w:rsidP="009A7C14">
      <w:pPr>
        <w:spacing w:line="276" w:lineRule="auto"/>
        <w:rPr>
          <w:sz w:val="20"/>
          <w:szCs w:val="20"/>
          <w:rtl/>
        </w:rPr>
      </w:pPr>
    </w:p>
    <w:p w:rsidR="00EF717C" w:rsidRPr="00D3089C" w:rsidRDefault="00EF717C" w:rsidP="00EF717C">
      <w:pPr>
        <w:spacing w:line="276" w:lineRule="auto"/>
        <w:jc w:val="right"/>
        <w:rPr>
          <w:sz w:val="20"/>
          <w:szCs w:val="20"/>
          <w:rtl/>
        </w:rPr>
      </w:pPr>
      <w:r>
        <w:rPr>
          <w:rFonts w:hint="cs"/>
          <w:sz w:val="20"/>
          <w:szCs w:val="20"/>
          <w:rtl/>
        </w:rPr>
        <w:t>שם:_____________________</w:t>
      </w: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0F6542" w:rsidP="002C604C">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יבמות</w:t>
      </w:r>
      <w:r w:rsidR="009A7C14" w:rsidRPr="00D3089C">
        <w:rPr>
          <w:rFonts w:asciiTheme="majorBidi" w:hAnsiTheme="majorBidi" w:cstheme="majorBidi" w:hint="cs"/>
          <w:sz w:val="32"/>
          <w:szCs w:val="32"/>
          <w:rtl/>
        </w:rPr>
        <w:t xml:space="preserve"> </w:t>
      </w:r>
      <w:r w:rsidR="002C604C">
        <w:rPr>
          <w:rFonts w:asciiTheme="majorBidi" w:hAnsiTheme="majorBidi" w:cstheme="majorBidi" w:hint="cs"/>
          <w:sz w:val="32"/>
          <w:szCs w:val="32"/>
          <w:rtl/>
        </w:rPr>
        <w:t>ח</w:t>
      </w:r>
      <w:r w:rsidR="009A7C14" w:rsidRPr="00D3089C">
        <w:rPr>
          <w:rFonts w:asciiTheme="majorBidi" w:hAnsiTheme="majorBidi" w:cstheme="majorBidi" w:hint="cs"/>
          <w:sz w:val="32"/>
          <w:szCs w:val="32"/>
          <w:rtl/>
        </w:rPr>
        <w:t xml:space="preserve">: - </w:t>
      </w:r>
      <w:r w:rsidR="002C604C">
        <w:rPr>
          <w:rFonts w:asciiTheme="majorBidi" w:hAnsiTheme="majorBidi" w:cstheme="majorBidi" w:hint="cs"/>
          <w:sz w:val="32"/>
          <w:szCs w:val="32"/>
          <w:rtl/>
        </w:rPr>
        <w:t>כב</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2C604C" w:rsidRPr="00D3089C" w:rsidRDefault="009A7C14" w:rsidP="002C604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2C604C">
        <w:rPr>
          <w:rFonts w:asciiTheme="majorBidi" w:hAnsiTheme="majorBidi" w:cstheme="majorBidi" w:hint="cs"/>
          <w:sz w:val="32"/>
          <w:szCs w:val="32"/>
          <w:rtl/>
        </w:rPr>
        <w:t>החולץ ליבמתו וחזר וקידשה ומת בלא בנים, האם היא זקוקה לייבום או לחליצה.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8E342E">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8E342E">
        <w:rPr>
          <w:rFonts w:asciiTheme="majorBidi" w:hAnsiTheme="majorBidi" w:cstheme="majorBidi" w:hint="cs"/>
          <w:sz w:val="32"/>
          <w:szCs w:val="32"/>
          <w:rtl/>
        </w:rPr>
        <w:t>האם צרת ממאנת וצרת אילונית אסורות או מותרות.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8E342E">
        <w:rPr>
          <w:rFonts w:asciiTheme="majorBidi" w:hAnsiTheme="majorBidi" w:cstheme="majorBidi" w:hint="cs"/>
          <w:sz w:val="32"/>
          <w:szCs w:val="32"/>
          <w:rtl/>
        </w:rPr>
        <w:t>האם בית שמאי עשו כדבריהם, קודם בת קול ולאחר בת קול.</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331B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331BC6">
        <w:rPr>
          <w:rFonts w:asciiTheme="majorBidi" w:hAnsiTheme="majorBidi" w:cstheme="majorBidi" w:hint="cs"/>
          <w:sz w:val="32"/>
          <w:szCs w:val="32"/>
          <w:rtl/>
        </w:rPr>
        <w:t>באיזה אופן סובר רבי שמעון שיש פטור של אשת אחיו שלא היה בעולמו, ובאיזה אופן אין פטור.</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621E59">
        <w:rPr>
          <w:rFonts w:asciiTheme="majorBidi" w:hAnsiTheme="majorBidi" w:cstheme="majorBidi" w:hint="cs"/>
          <w:sz w:val="32"/>
          <w:szCs w:val="32"/>
          <w:rtl/>
        </w:rPr>
        <w:t>האם חייבי לאוין נופלים מן התורה ליבום, ומאיזה טעם אסורים להתייבם.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3028B3">
        <w:rPr>
          <w:rFonts w:asciiTheme="majorBidi" w:hAnsiTheme="majorBidi" w:cstheme="majorBidi" w:hint="cs"/>
          <w:sz w:val="32"/>
          <w:szCs w:val="32"/>
          <w:rtl/>
        </w:rPr>
        <w:t>האם מותר לכהן להטמא לאשתו הפסולה או לאחיו הממזר.</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9A7C14" w:rsidRPr="00D3089C" w:rsidRDefault="009A7C14" w:rsidP="003028B3">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3028B3">
        <w:rPr>
          <w:rFonts w:asciiTheme="majorBidi" w:hAnsiTheme="majorBidi" w:cstheme="majorBidi" w:hint="cs"/>
          <w:sz w:val="32"/>
          <w:szCs w:val="32"/>
          <w:rtl/>
        </w:rPr>
        <w:t>יבמות כב: - לג:</w:t>
      </w:r>
      <w:r w:rsidRPr="00D3089C">
        <w:rPr>
          <w:rFonts w:asciiTheme="majorBidi" w:hAnsiTheme="majorBidi" w:cstheme="majorBidi" w:hint="cs"/>
          <w:sz w:val="32"/>
          <w:szCs w:val="32"/>
          <w:rtl/>
        </w:rPr>
        <w:t xml:space="preserve"> יתקיים בס"ד ביום חמישי </w:t>
      </w:r>
      <w:r w:rsidR="003028B3">
        <w:rPr>
          <w:rFonts w:asciiTheme="majorBidi" w:hAnsiTheme="majorBidi" w:cstheme="majorBidi" w:hint="cs"/>
          <w:sz w:val="32"/>
          <w:szCs w:val="32"/>
          <w:rtl/>
        </w:rPr>
        <w:t>י"ג חשוון</w:t>
      </w: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3028B3" w:rsidRDefault="003028B3" w:rsidP="00987EA6">
      <w:pPr>
        <w:jc w:val="center"/>
        <w:rPr>
          <w:rFonts w:asciiTheme="majorBidi" w:hAnsiTheme="majorBidi"/>
          <w:b/>
          <w:bCs/>
          <w:sz w:val="24"/>
          <w:szCs w:val="24"/>
          <w:rtl/>
        </w:rPr>
      </w:pP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987EA6" w:rsidRDefault="00987EA6" w:rsidP="006400E6">
      <w:pPr>
        <w:rPr>
          <w:rtl/>
        </w:rPr>
      </w:pPr>
      <w:r>
        <w:rPr>
          <w:rFonts w:hint="cs"/>
          <w:rtl/>
        </w:rPr>
        <w:t xml:space="preserve">א. </w:t>
      </w:r>
      <w:r w:rsidR="002C604C">
        <w:rPr>
          <w:rFonts w:hint="cs"/>
          <w:rtl/>
        </w:rPr>
        <w:t>לריו"ח צריכה חליצה, כיון ש</w:t>
      </w:r>
      <w:r w:rsidR="006400E6">
        <w:rPr>
          <w:rFonts w:hint="cs"/>
          <w:rtl/>
        </w:rPr>
        <w:t xml:space="preserve">אינה </w:t>
      </w:r>
      <w:r w:rsidR="002C604C">
        <w:rPr>
          <w:rFonts w:hint="cs"/>
          <w:rtl/>
        </w:rPr>
        <w:t xml:space="preserve">אסורה עליהם </w:t>
      </w:r>
      <w:r w:rsidR="006400E6">
        <w:rPr>
          <w:rFonts w:hint="cs"/>
          <w:rtl/>
        </w:rPr>
        <w:t xml:space="preserve">בכרת כערוה אלא </w:t>
      </w:r>
      <w:r w:rsidR="002C604C">
        <w:rPr>
          <w:rFonts w:hint="cs"/>
          <w:rtl/>
        </w:rPr>
        <w:t>בלאו. לר"ל כיון שהיא בכרת אינה זקוקה כלום. [ואם יש אח שנולד לאחר שחלץ וקידש, לדעת רבי שמעון דייבם ולבסוף נולד אינה בדין אשת אח שלא היה בעולמו, הרי היא זקוקה לחליצה ממנו, כיון שאינה אסורה עליו בכרת גם לר"ל].</w:t>
      </w:r>
    </w:p>
    <w:p w:rsidR="002C604C" w:rsidRDefault="002C604C" w:rsidP="00987EA6">
      <w:pPr>
        <w:rPr>
          <w:rtl/>
        </w:rPr>
      </w:pPr>
      <w:r>
        <w:rPr>
          <w:rFonts w:hint="cs"/>
          <w:rtl/>
        </w:rPr>
        <w:t xml:space="preserve">ב. </w:t>
      </w:r>
      <w:r w:rsidR="008E342E">
        <w:rPr>
          <w:rFonts w:hint="cs"/>
          <w:rtl/>
        </w:rPr>
        <w:t>צרת ממאנת אסורה. צרת אילונית</w:t>
      </w:r>
      <w:r w:rsidR="00DB06B0">
        <w:rPr>
          <w:rFonts w:hint="cs"/>
          <w:rtl/>
        </w:rPr>
        <w:t xml:space="preserve"> -</w:t>
      </w:r>
      <w:r w:rsidR="008E342E">
        <w:rPr>
          <w:rFonts w:hint="cs"/>
          <w:rtl/>
        </w:rPr>
        <w:t xml:space="preserve"> לרב אסי אסורה, ולרבא מותרת.</w:t>
      </w:r>
    </w:p>
    <w:p w:rsidR="008E342E" w:rsidRDefault="008E342E" w:rsidP="00987EA6">
      <w:pPr>
        <w:rPr>
          <w:rtl/>
        </w:rPr>
      </w:pPr>
      <w:r>
        <w:rPr>
          <w:rFonts w:hint="cs"/>
          <w:rtl/>
        </w:rPr>
        <w:t>ג. נחלקו בגמ' אי עשו כדבריהם, ונאמרו שני ביאורים אי מיירי קודם בת קול [והטעם שלא עשו כדבריהם משום דב"ה רובא], או דמיירי לאחר בת קול [והטעם שעשו כדבריהם משום שאין משגיחין בבת קול].</w:t>
      </w:r>
    </w:p>
    <w:p w:rsidR="00705B93" w:rsidRPr="00705B93" w:rsidRDefault="008E342E" w:rsidP="00331BC6">
      <w:pPr>
        <w:rPr>
          <w:rtl/>
        </w:rPr>
      </w:pPr>
      <w:r>
        <w:rPr>
          <w:rFonts w:hint="cs"/>
          <w:rtl/>
        </w:rPr>
        <w:t xml:space="preserve">ד. </w:t>
      </w:r>
      <w:r w:rsidR="00705B93" w:rsidRPr="00705B93">
        <w:rPr>
          <w:rFonts w:hint="cs"/>
          <w:rtl/>
        </w:rPr>
        <w:t>למסקנא - אם</w:t>
      </w:r>
      <w:r w:rsidR="00705B93">
        <w:rPr>
          <w:rFonts w:hint="cs"/>
          <w:rtl/>
        </w:rPr>
        <w:t xml:space="preserve"> נולד ולבסוף ייבם, פטורה לרבי שמעון. ייבם ולבסוף נולד חייבת. [ולרבי אושעיא בכל גווני פטורה].</w:t>
      </w:r>
    </w:p>
    <w:p w:rsidR="008E342E" w:rsidRPr="00705B93" w:rsidRDefault="00705B93" w:rsidP="00705B93">
      <w:pPr>
        <w:ind w:left="651" w:right="709"/>
        <w:rPr>
          <w:sz w:val="18"/>
          <w:szCs w:val="18"/>
          <w:rtl/>
        </w:rPr>
      </w:pPr>
      <w:r w:rsidRPr="00705B93">
        <w:rPr>
          <w:rFonts w:hint="cs"/>
          <w:sz w:val="18"/>
          <w:szCs w:val="18"/>
          <w:rtl/>
        </w:rPr>
        <w:t xml:space="preserve">להבנת הענין </w:t>
      </w:r>
      <w:r w:rsidR="00DB06B0" w:rsidRPr="00705B93">
        <w:rPr>
          <w:rFonts w:hint="cs"/>
          <w:sz w:val="18"/>
          <w:szCs w:val="18"/>
          <w:rtl/>
        </w:rPr>
        <w:t xml:space="preserve">ישנם </w:t>
      </w:r>
      <w:r w:rsidR="00331BC6" w:rsidRPr="00705B93">
        <w:rPr>
          <w:rFonts w:hint="cs"/>
          <w:sz w:val="18"/>
          <w:szCs w:val="18"/>
          <w:rtl/>
        </w:rPr>
        <w:t>ג' מקרים:</w:t>
      </w:r>
      <w:r w:rsidR="00331BC6" w:rsidRPr="00705B93">
        <w:rPr>
          <w:rFonts w:hint="cs"/>
          <w:b/>
          <w:bCs/>
          <w:sz w:val="18"/>
          <w:szCs w:val="18"/>
          <w:rtl/>
        </w:rPr>
        <w:t xml:space="preserve"> א. </w:t>
      </w:r>
      <w:r w:rsidR="00331BC6" w:rsidRPr="00705B93">
        <w:rPr>
          <w:rFonts w:hint="cs"/>
          <w:sz w:val="18"/>
          <w:szCs w:val="18"/>
          <w:rtl/>
        </w:rPr>
        <w:t>אם מת</w:t>
      </w:r>
      <w:r>
        <w:rPr>
          <w:rFonts w:hint="cs"/>
          <w:sz w:val="18"/>
          <w:szCs w:val="18"/>
          <w:rtl/>
        </w:rPr>
        <w:t xml:space="preserve"> הראשון</w:t>
      </w:r>
      <w:r w:rsidR="00331BC6" w:rsidRPr="00705B93">
        <w:rPr>
          <w:rFonts w:hint="cs"/>
          <w:sz w:val="18"/>
          <w:szCs w:val="18"/>
          <w:rtl/>
        </w:rPr>
        <w:t xml:space="preserve"> ואח"כ נולד לו אח, אינה נופלת לפניו היא ולא צרתה. </w:t>
      </w:r>
      <w:r w:rsidR="00331BC6" w:rsidRPr="00705B93">
        <w:rPr>
          <w:rFonts w:hint="cs"/>
          <w:b/>
          <w:bCs/>
          <w:sz w:val="18"/>
          <w:szCs w:val="18"/>
          <w:rtl/>
        </w:rPr>
        <w:t xml:space="preserve">ב. </w:t>
      </w:r>
      <w:r w:rsidR="00331BC6" w:rsidRPr="00705B93">
        <w:rPr>
          <w:rFonts w:hint="cs"/>
          <w:sz w:val="18"/>
          <w:szCs w:val="18"/>
          <w:rtl/>
        </w:rPr>
        <w:t>נפלה לפני אחיו ולא ייבם ונולד</w:t>
      </w:r>
      <w:bookmarkStart w:id="0" w:name="_GoBack"/>
      <w:bookmarkEnd w:id="0"/>
      <w:r w:rsidR="00331BC6" w:rsidRPr="00705B93">
        <w:rPr>
          <w:rFonts w:hint="cs"/>
          <w:sz w:val="18"/>
          <w:szCs w:val="18"/>
          <w:rtl/>
        </w:rPr>
        <w:t xml:space="preserve"> אח, לרב אושעיא </w:t>
      </w:r>
      <w:r>
        <w:rPr>
          <w:rFonts w:hint="cs"/>
          <w:sz w:val="18"/>
          <w:szCs w:val="18"/>
          <w:rtl/>
        </w:rPr>
        <w:t>דעת</w:t>
      </w:r>
      <w:r w:rsidR="00331BC6" w:rsidRPr="00705B93">
        <w:rPr>
          <w:rFonts w:hint="cs"/>
          <w:sz w:val="18"/>
          <w:szCs w:val="18"/>
          <w:rtl/>
        </w:rPr>
        <w:t xml:space="preserve"> רבי שמעון שאין כאן פטור אש"א שלא היה בעולמו וצרתה חייבת, ולרב פפא כיון שנולד קודם שייבם, הרי זו פטורה משום אש"א שלא היה בעולמו וצרתה פטורה.</w:t>
      </w:r>
      <w:r w:rsidRPr="00705B93">
        <w:rPr>
          <w:rFonts w:hint="cs"/>
          <w:sz w:val="18"/>
          <w:szCs w:val="18"/>
          <w:rtl/>
        </w:rPr>
        <w:t xml:space="preserve"> ואיתותב רבי אושעיא.</w:t>
      </w:r>
      <w:r>
        <w:rPr>
          <w:rFonts w:hint="cs"/>
          <w:sz w:val="18"/>
          <w:szCs w:val="18"/>
          <w:rtl/>
        </w:rPr>
        <w:t xml:space="preserve"> </w:t>
      </w:r>
      <w:r w:rsidR="00331BC6" w:rsidRPr="00705B93">
        <w:rPr>
          <w:rFonts w:hint="cs"/>
          <w:b/>
          <w:bCs/>
          <w:sz w:val="18"/>
          <w:szCs w:val="18"/>
          <w:rtl/>
        </w:rPr>
        <w:t xml:space="preserve">ג. </w:t>
      </w:r>
      <w:r w:rsidR="00331BC6" w:rsidRPr="00705B93">
        <w:rPr>
          <w:rFonts w:hint="cs"/>
          <w:sz w:val="18"/>
          <w:szCs w:val="18"/>
          <w:rtl/>
        </w:rPr>
        <w:t>ייבם ולבסוף נולד, לדעת רבי שמעון אין פטור אש"א שלא היה בעולמו וצרתה חייבת.</w:t>
      </w:r>
    </w:p>
    <w:p w:rsidR="00331BC6" w:rsidRDefault="00331BC6" w:rsidP="00621E59">
      <w:pPr>
        <w:rPr>
          <w:rtl/>
        </w:rPr>
      </w:pPr>
      <w:r>
        <w:rPr>
          <w:rFonts w:hint="cs"/>
          <w:rtl/>
        </w:rPr>
        <w:t xml:space="preserve">ה. </w:t>
      </w:r>
      <w:r w:rsidR="00621E59">
        <w:rPr>
          <w:rFonts w:hint="cs"/>
          <w:rtl/>
        </w:rPr>
        <w:t>מסקנת הגמ' דמה"ת נופלים ליבום, ואם בעלו קנו, ומדרבנן אסור לייבם גזירה אטו ביאה שניה. [ואולם נשארו בקושיא על דברי ר"ל ורבא דבאפשר לקיים שניהם לא דחי העשה ללאו, והא הכא אפשר בחליצה].</w:t>
      </w:r>
    </w:p>
    <w:p w:rsidR="003028B3" w:rsidRDefault="003028B3" w:rsidP="00621E59">
      <w:pPr>
        <w:rPr>
          <w:rtl/>
        </w:rPr>
      </w:pPr>
      <w:r>
        <w:rPr>
          <w:rFonts w:hint="cs"/>
          <w:rtl/>
        </w:rPr>
        <w:t>ו. לאשתו הפסולה אסור, לאחיו הממזר מותר.</w:t>
      </w:r>
    </w:p>
    <w:p w:rsidR="003028B3" w:rsidRPr="00987EA6" w:rsidRDefault="003028B3" w:rsidP="00621E59">
      <w:r>
        <w:rPr>
          <w:rFonts w:hint="cs"/>
          <w:rtl/>
        </w:rPr>
        <w:t>ז.</w:t>
      </w:r>
    </w:p>
    <w:sectPr w:rsidR="003028B3"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F6542"/>
    <w:rsid w:val="00142B29"/>
    <w:rsid w:val="002C604C"/>
    <w:rsid w:val="003028B3"/>
    <w:rsid w:val="00331BC6"/>
    <w:rsid w:val="004049B1"/>
    <w:rsid w:val="00474EB0"/>
    <w:rsid w:val="00621E59"/>
    <w:rsid w:val="006400E6"/>
    <w:rsid w:val="00705B93"/>
    <w:rsid w:val="0077367E"/>
    <w:rsid w:val="008A335F"/>
    <w:rsid w:val="008E342E"/>
    <w:rsid w:val="00987EA6"/>
    <w:rsid w:val="009A7C14"/>
    <w:rsid w:val="00DB06B0"/>
    <w:rsid w:val="00EF717C"/>
    <w:rsid w:val="00F83E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342</TotalTime>
  <Pages>2</Pages>
  <Words>394</Words>
  <Characters>1970</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user1</dc:creator>
  <cp:lastModifiedBy>Lenovo</cp:lastModifiedBy>
  <cp:revision>8</cp:revision>
  <cp:lastPrinted>2014-10-26T11:09:00Z</cp:lastPrinted>
  <dcterms:created xsi:type="dcterms:W3CDTF">2014-10-26T10:01:00Z</dcterms:created>
  <dcterms:modified xsi:type="dcterms:W3CDTF">2014-12-02T09:11:00Z</dcterms:modified>
</cp:coreProperties>
</file>